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129321">
            <w:r>
              <w:rPr>
                <w:rStyle w:val="Hyperlink"/>
              </w:rPr>
              <w:t>Indicador - Modificaciones de crédito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_Toc4129321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1293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_Toc4129322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1293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_Toc4129323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1293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_Toc4129324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129321" w:id="1"/>
      <w:r>
        <w:t>Indicador - Modificaciones de crédito (€)</w:t>
      </w:r>
      <w:bookmarkEnd w:id="1"/>
    </w:p>
    <w:p>
      <w:pPr>
        <w:pStyle w:val="DiccionarioT2"/>
      </w:pPr>
      <w:bookmarkStart w:name="_Toc41293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Modificaciones al crédito inicial. Se calcula como Créditos presupuestarios definitivos - Créditos presupuestarios iniciales. 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 la suma total de las modificaciones.</w:t>
      </w:r>
    </w:p>
    <w:p>
      <w:pPr>
        <w:pStyle w:val="DiccionarioT2"/>
      </w:pPr>
      <w:bookmarkStart w:name="_Toc41293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Créditos presupuestarios definitivos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 -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Créditos presupuestarios iniciales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  Es la suma total de las modificaciones. (G-00-42)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41293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96" Type="http://schemas.openxmlformats.org/officeDocument/2006/relationships/hyperlink" Id="rId16"/>
    <Relationship TargetMode="External" Target="PreviewConcept.action?conceptCode=1076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