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74101">
            <w:r>
              <w:rPr>
                <w:rStyle w:val="Hyperlink"/>
              </w:rPr>
              <w:t>Indicador - Modificaciones de crédito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_Toc174101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741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_Toc174102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741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_Toc174103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74101" w:id="1"/>
      <w:r>
        <w:t>Indicador - Modificaciones de crédito (€)</w:t>
      </w:r>
      <w:bookmarkEnd w:id="1"/>
    </w:p>
    <w:p>
      <w:pPr>
        <w:pStyle w:val="DiccionarioT2"/>
      </w:pPr>
      <w:bookmarkStart w:name="_Toc1741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Modificaciones al crédito inicial. Se calcula como Créditos presupuestarios definitivos - Créditos presupuestarios iniciales. 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 la suma total de las modificaciones.</w:t>
      </w:r>
    </w:p>
    <w:p>
      <w:pPr>
        <w:pStyle w:val="DiccionarioT2"/>
      </w:pPr>
      <w:bookmarkStart w:name="_Toc1741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Créditos presupuestarios definitivos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 xml:space="preserve"> -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Créditos presupuestarios iniciales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.  Es la suma total de las modificaciones. (G-00-42)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796" Type="http://schemas.openxmlformats.org/officeDocument/2006/relationships/hyperlink" Id="rId16"/>
    <Relationship TargetMode="External" Target="PreviewConcept.action?conceptCode=10764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