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100741">
            <w:r>
              <w:rPr>
                <w:rStyle w:val="Hyperlink"/>
              </w:rPr>
              <w:t>Indicador - Ratio de la financiación propia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_Toc3100741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00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_Toc3100742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007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_Toc3100743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1007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_Toc3100744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100741" w:id="1"/>
      <w:r>
        <w:t>Indicador - Ratio de la financiación propia sobre la total (%)</w:t>
      </w:r>
      <w:bookmarkEnd w:id="1"/>
    </w:p>
    <w:p>
      <w:pPr>
        <w:pStyle w:val="DiccionarioT2"/>
      </w:pPr>
      <w:bookmarkStart w:name="_Toc3100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propia sobre la total</w:t>
      </w:r>
    </w:p>
    <w:p>
      <w:pPr>
        <w:pStyle w:val="DiccionarioT2"/>
      </w:pPr>
      <w:bookmarkStart w:name="_Toc31007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propia.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31007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08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