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758401">
            <w:r>
              <w:rPr>
                <w:rStyle w:val="Hyperlink"/>
              </w:rPr>
              <w:t>Indicador - Ratio de la financiación propia sobre la total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_Toc2758401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7584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_Toc2758402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7584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_Toc2758403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758401" w:id="1"/>
      <w:r>
        <w:t>Indicador - Ratio de la financiación propia sobre la total (%)</w:t>
      </w:r>
      <w:bookmarkEnd w:id="1"/>
    </w:p>
    <w:p>
      <w:pPr>
        <w:pStyle w:val="DiccionarioT2"/>
      </w:pPr>
      <w:bookmarkStart w:name="_Toc27584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Ratio de la financiación propia sobre la total</w:t>
      </w:r>
    </w:p>
    <w:p>
      <w:pPr>
        <w:pStyle w:val="DiccionarioT2"/>
      </w:pPr>
      <w:bookmarkStart w:name="_Toc27584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Financiación propia.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Financiación total.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808" Type="http://schemas.openxmlformats.org/officeDocument/2006/relationships/hyperlink" Id="rId16"/>
    <Relationship TargetMode="External" Target="PreviewConcept.action?conceptCode=1077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