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897991">
            <w:r>
              <w:rPr>
                <w:rStyle w:val="Hyperlink"/>
              </w:rPr>
              <w:t>Indicador - Financiación exterior privada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_Toc7897991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979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_Toc7897992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979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_Toc7897993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979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_Toc7897994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897991" w:id="1"/>
      <w:r>
        <w:t>Indicador - Financiación exterior privada (€)</w:t>
      </w:r>
      <w:bookmarkEnd w:id="1"/>
    </w:p>
    <w:p>
      <w:pPr>
        <w:pStyle w:val="DiccionarioT2"/>
      </w:pPr>
      <w:bookmarkStart w:name="_Toc78979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 financiación incluye las transferencias de naturaleza corriente y de capital privada procedente del exterior (Fuera de España)</w:t>
      </w:r>
    </w:p>
    <w:p>
      <w:pPr>
        <w:pStyle w:val="DiccionarioT2"/>
      </w:pPr>
      <w:bookmarkStart w:name="_Toc78979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ingresos reconocidos netos de los conceptos 499 y 799.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8979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