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30621">
            <w:r>
              <w:rPr>
                <w:rStyle w:val="Hyperlink"/>
              </w:rPr>
              <w:t>Indicador - Financiación exterior privada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_Toc1230621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30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_Toc1230622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306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_Toc1230623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30621" w:id="1"/>
      <w:r>
        <w:t>Indicador - Financiación exterior privada (€)</w:t>
      </w:r>
      <w:bookmarkEnd w:id="1"/>
    </w:p>
    <w:p>
      <w:pPr>
        <w:pStyle w:val="DiccionarioT2"/>
      </w:pPr>
      <w:bookmarkStart w:name="_Toc1230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 privada procedente del exterior (Fuera de España)</w:t>
      </w:r>
    </w:p>
    <w:p>
      <w:pPr>
        <w:pStyle w:val="DiccionarioT2"/>
      </w:pPr>
      <w:bookmarkStart w:name="_Toc12306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ingresos reconocidos netos de los conceptos 499 y 799.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