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8256761">
            <w:r>
              <w:rPr>
                <w:rStyle w:val="Hyperlink"/>
              </w:rPr>
              <w:t>Indicador - Financiación exterior (€)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_Toc8256761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825676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_Toc8256762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825676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_Toc8256763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8256764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_Toc8256764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8256761" w:id="1"/>
      <w:r>
        <w:t>Indicador - Financiación exterior (€)</w:t>
      </w:r>
      <w:bookmarkEnd w:id="1"/>
    </w:p>
    <w:p>
      <w:pPr>
        <w:pStyle w:val="DiccionarioT2"/>
      </w:pPr>
      <w:bookmarkStart w:name="_Toc825676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Esta financiación incluye las transferencias de naturaleza corriente y de capital, pública y privada procedente del exterior (Fuera de España)</w:t>
      </w:r>
    </w:p>
    <w:p>
      <w:pPr>
        <w:pStyle w:val="DiccionarioT2"/>
      </w:pPr>
      <w:bookmarkStart w:name="_Toc825676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  <w:r>
        <w:rPr>
          <w:rFonts w:ascii="Calibri" w:hAnsi="Calibri"/>
          <w:b w:val="false"/>
          <w:i w:val="false"/>
          <w:color w:val="000000"/>
          <w:sz w:val="22"/>
        </w:rPr>
        <w:t>Suma de los derechos reconocidos netos por transferencias de naturaleza corriente y de capital reconocidas en los artículos: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UPM:</w:t>
      </w:r>
      <w:r>
        <w:rPr>
          <w:rFonts w:ascii="Calibri" w:hAnsi="Calibri"/>
          <w:b w:val="false"/>
          <w:i w:val="false"/>
          <w:color w:val="000000"/>
          <w:sz w:val="22"/>
        </w:rPr>
        <w:t> 49 y 79 del presupuesto de ingresos.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[I-00-14]</w:t>
      </w:r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Diaria.</w:t>
      </w:r>
    </w:p>
    <w:p>
      <w:pPr>
        <w:pStyle w:val="DiccionarioT2"/>
      </w:pPr>
      <w:bookmarkStart w:name="_Toc8256764" w:id="4"/>
      <w:r>
        <w:t>Artículos relacionados</w:t>
      </w:r>
      <w:bookmarkEnd w:id="4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20/10/2026</w:t>
    </w:r>
  </w:p>
</w:ftr>
</file>

<file path=word/footer3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