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947821">
            <w:r>
              <w:rPr>
                <w:rStyle w:val="Hyperlink"/>
              </w:rPr>
              <w:t>Indicador - Financiación exterior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_Toc2947821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9478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_Toc2947822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9478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_Toc2947823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947821" w:id="1"/>
      <w:r>
        <w:t>Indicador - Financiación exterior (€)</w:t>
      </w:r>
      <w:bookmarkEnd w:id="1"/>
    </w:p>
    <w:p>
      <w:pPr>
        <w:pStyle w:val="DiccionarioT2"/>
      </w:pPr>
      <w:bookmarkStart w:name="_Toc29478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 financiación incluye las transferencias de naturaleza corriente y de capital, pública y privada procedente del exterior (Fuera de España)</w:t>
      </w:r>
    </w:p>
    <w:p>
      <w:pPr>
        <w:pStyle w:val="DiccionarioT2"/>
      </w:pPr>
      <w:bookmarkStart w:name="_Toc29478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los derechos reconocidos netos por transferencias de naturaleza corriente y de capital reconocidas en los artículos: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UPM:</w:t>
      </w:r>
      <w:r>
        <w:rPr>
          <w:rFonts w:ascii="Calibri" w:hAnsi="Calibri"/>
          <w:b w:val="false"/>
          <w:i w:val="false"/>
          <w:color w:val="000000"/>
          <w:sz w:val="22"/>
        </w:rPr>
        <w:t> 49 y 79 del presupuesto de ingresos.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[I-00-14]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01/07/2026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