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518621">
            <w:r>
              <w:rPr>
                <w:rStyle w:val="Hyperlink"/>
              </w:rPr>
              <w:t>Indicador - Financiación privada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_Toc7518621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5186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_Toc7518622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5186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_Toc7518623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518621" w:id="1"/>
      <w:r>
        <w:t>Indicador - Financiación privada (€)</w:t>
      </w:r>
      <w:bookmarkEnd w:id="1"/>
    </w:p>
    <w:p>
      <w:pPr>
        <w:pStyle w:val="DiccionarioT2"/>
      </w:pPr>
      <w:bookmarkStart w:name="_Toc75186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financiación privada incluye las transferencias y subvenciones procedentes de empresas privadas y de familias e instituciones sin fines de lucro nacionales, autonómicas y locales.</w:t>
      </w:r>
    </w:p>
    <w:p>
      <w:pPr>
        <w:pStyle w:val="DiccionarioT2"/>
      </w:pPr>
      <w:bookmarkStart w:name="_Toc75186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derechos reconocidos netos por transferencias y subvenciones procedentes de empresas privadas y de familias e instituciones sin fines de lucro, reflejadas en los artículos: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UPM: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47, 48, 77 y 78 del presupuesto de ingresos.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[I-00-14]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