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06921">
            <w:r>
              <w:rPr>
                <w:rStyle w:val="Hyperlink"/>
              </w:rPr>
              <w:t>Indicador - Financiación pública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_Toc5906921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69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_Toc5906922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69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_Toc5906923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069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_Toc5906924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06921" w:id="1"/>
      <w:r>
        <w:t>Indicador - Financiación pública (€)</w:t>
      </w:r>
      <w:bookmarkEnd w:id="1"/>
    </w:p>
    <w:p>
      <w:pPr>
        <w:pStyle w:val="DiccionarioT2"/>
      </w:pPr>
      <w:bookmarkStart w:name="_Toc59069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conceptos a los que se imputan los fondos públicos recibidos (Subvenciones y transferencias corrientes y de capital de origen nacional, autonómico y local)</w:t>
      </w:r>
    </w:p>
    <w:p>
      <w:pPr>
        <w:pStyle w:val="DiccionarioT2"/>
      </w:pPr>
      <w:bookmarkStart w:name="_Toc59069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y subvenciones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Arts. 40 y 70 - Administración del Estado, Arts. 41 y 71 - Organismos Autónomos, Arts. 42 y 72 - Seguridad Social, Arts. 43 y 73 - Otros Organismos Públicos, Arts. 44 y 74 - Empresas públicas y otros entes públicos, Arts. 45 y 75 - Comunidades Autónomas y Arts. 46 y 76 - Corporaciones locales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9069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