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840921">
            <w:r>
              <w:rPr>
                <w:rStyle w:val="Hyperlink"/>
              </w:rPr>
              <w:t>Indicador - Realización de cobros (Tasa de Recaudación) (%)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_Toc7840921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409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_Toc7840922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409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_Toc7840923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84092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_Toc7840924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840921" w:id="1"/>
      <w:r>
        <w:t>Indicador - Realización de cobros (Tasa de Recaudación) (%)</w:t>
      </w:r>
      <w:bookmarkEnd w:id="1"/>
    </w:p>
    <w:p>
      <w:pPr>
        <w:pStyle w:val="DiccionarioT2"/>
      </w:pPr>
      <w:bookmarkStart w:name="_Toc78409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Realización de cobros (Tasa de recaudación) que se obtiene de las cantidades liquidadas en los estados de ingresos de la Universidad. </w:t>
      </w:r>
    </w:p>
    <w:p>
      <w:pPr>
        <w:pStyle w:val="DiccionarioT2"/>
      </w:pPr>
      <w:bookmarkStart w:name="_Toc78409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> 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cobrados.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liquidados.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(I-00- Se calcula como 15/14)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> Diaria.</w:t>
      </w:r>
    </w:p>
    <w:p>
      <w:pPr>
        <w:pStyle w:val="DiccionarioT2"/>
      </w:pPr>
      <w:bookmarkStart w:name="_Toc784092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794" Type="http://schemas.openxmlformats.org/officeDocument/2006/relationships/hyperlink" Id="rId16"/>
    <Relationship TargetMode="External" Target="PreviewConcept.action?conceptCode=10793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