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8279891">
            <w:r>
              <w:rPr>
                <w:rStyle w:val="Hyperlink"/>
              </w:rPr>
              <w:t>Indicador - Realización de cobros (Tasa de Recaudación) (%)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_Toc8279891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827989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_Toc8279892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827989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_Toc8279893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8279891" w:id="1"/>
      <w:r>
        <w:t>Indicador - Realización de cobros (Tasa de Recaudación) (%)</w:t>
      </w:r>
      <w:bookmarkEnd w:id="1"/>
    </w:p>
    <w:p>
      <w:pPr>
        <w:pStyle w:val="DiccionarioT2"/>
      </w:pPr>
      <w:bookmarkStart w:name="_Toc827989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Realización de cobros (Tasa de recaudación) que se obtiene de las cantidades liquidadas en los estados de ingresos de la Universidad. </w:t>
      </w:r>
    </w:p>
    <w:p>
      <w:pPr>
        <w:pStyle w:val="DiccionarioT2"/>
      </w:pPr>
      <w:bookmarkStart w:name="_Toc827989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</w:t>
      </w:r>
      <w:r>
        <w:rPr>
          <w:rFonts w:ascii="Calibri" w:hAnsi="Calibri"/>
          <w:b w:val="false"/>
          <w:i w:val="false"/>
          <w:color w:val="000000"/>
          <w:sz w:val="22"/>
        </w:rPr>
        <w:t> UXXI.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</w:t>
      </w:r>
      <w:r>
        <w:rPr>
          <w:rFonts w:ascii="Calibri" w:hAnsi="Calibri"/>
          <w:b w:val="false"/>
          <w:i w:val="false"/>
          <w:color w:val="000000"/>
          <w:sz w:val="22"/>
        </w:rPr>
        <w:t> 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Numerador:</w:t>
      </w:r>
      <w:r>
        <w:rPr>
          <w:rFonts w:ascii="Calibri" w:hAnsi="Calibri"/>
          <w:b w:val="false"/>
          <w:i w:val="false"/>
          <w:color w:val="000000"/>
          <w:sz w:val="22"/>
        </w:rPr>
        <w:t xml:space="preserve"> </w:t>
      </w:r>
      <w:hyperlink r:id="rId16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Derechos cobrados.</w:t>
        </w:r>
      </w:hyperlink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Denominador:</w:t>
      </w:r>
      <w:r>
        <w:rPr>
          <w:rFonts w:ascii="Calibri" w:hAnsi="Calibri"/>
          <w:b w:val="false"/>
          <w:i w:val="false"/>
          <w:color w:val="000000"/>
          <w:sz w:val="22"/>
        </w:rPr>
        <w:t xml:space="preserve"> </w:t>
      </w:r>
      <w:hyperlink r:id="rId17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Derechos liquidados.</w:t>
        </w:r>
      </w:hyperlink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(I-00- Se calcula como 15/14)</w:t>
      </w:r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</w:t>
      </w:r>
      <w:r>
        <w:rPr>
          <w:rFonts w:ascii="Calibri" w:hAnsi="Calibri"/>
          <w:b w:val="false"/>
          <w:i w:val="false"/>
          <w:color w:val="000000"/>
          <w:sz w:val="22"/>
        </w:rPr>
        <w:t> Diaria.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25/06/2026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    <Relationship TargetMode="External" Target="PreviewConcept.action?conceptCode=10794" Type="http://schemas.openxmlformats.org/officeDocument/2006/relationships/hyperlink" Id="rId16"/>
    <Relationship TargetMode="External" Target="PreviewConcept.action?conceptCode=10793" Type="http://schemas.openxmlformats.org/officeDocument/2006/relationships/hyperlink" Id="rId17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