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99701">
            <w:r>
              <w:rPr>
                <w:rStyle w:val="Hyperlink"/>
              </w:rPr>
              <w:t>Indicador - Derechos pendientes de cobro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_Toc1199701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99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_Toc1199702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99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_Toc1199703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99701" w:id="1"/>
      <w:r>
        <w:t>Indicador - Derechos pendientes de cobro de ejercicios anteriores (€)</w:t>
      </w:r>
      <w:bookmarkEnd w:id="1"/>
    </w:p>
    <w:p>
      <w:pPr>
        <w:pStyle w:val="DiccionarioT2"/>
      </w:pPr>
      <w:bookmarkStart w:name="_Toc1199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Derechos pendientes de cobro de ejercicios anteriores</w:t>
      </w:r>
    </w:p>
    <w:p>
      <w:pPr>
        <w:pStyle w:val="DiccionarioT2"/>
      </w:pPr>
      <w:bookmarkStart w:name="_Toc1199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Derechos pendientes de cobro de ejercicios anteriores (I-01-15).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