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949301">
            <w:r>
              <w:rPr>
                <w:rStyle w:val="Hyperlink"/>
              </w:rPr>
              <w:t>Indicador - Esfuerzo inversor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_Toc1949301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9493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_Toc1949302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9493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_Toc1949303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9493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_Toc1949304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949301" w:id="1"/>
      <w:r>
        <w:t>Indicador - Esfuerzo inversor (%)</w:t>
      </w:r>
      <w:bookmarkEnd w:id="1"/>
    </w:p>
    <w:p>
      <w:pPr>
        <w:pStyle w:val="DiccionarioT2"/>
      </w:pPr>
      <w:bookmarkStart w:name="_Toc19493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expone la importancia relativa de la ejecución de gastos vinculados a operaciones de capital (inversiones reales y las transferencias y subvenciones de capital), respecto del total de gastos presupuestarios.</w:t>
      </w:r>
    </w:p>
    <w:p>
      <w:pPr>
        <w:pStyle w:val="DiccionarioT2"/>
      </w:pPr>
      <w:bookmarkStart w:name="_Toc19493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(Capítulos 6 y 7)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Total obligaciones reconocidas netas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G-00- Se calcula como [26 (Capítulo 6)+26 (Capítulo 7)]/26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19493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5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