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947901">
            <w:r>
              <w:rPr>
                <w:rStyle w:val="Hyperlink"/>
              </w:rPr>
              <w:t>Indicador - Esfuerzo inversor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_Toc5947901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479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_Toc5947902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479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_Toc5947903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947901" w:id="1"/>
      <w:r>
        <w:t>Indicador - Esfuerzo inversor (%)</w:t>
      </w:r>
      <w:bookmarkEnd w:id="1"/>
    </w:p>
    <w:p>
      <w:pPr>
        <w:pStyle w:val="DiccionarioT2"/>
      </w:pPr>
      <w:bookmarkStart w:name="_Toc59479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indicador expone la importancia relativa de la ejecución de gastos vinculados a operaciones de capital (inversiones reales y las transferencias y subvenciones de capital), respecto del total de gastos presupuestarios.</w:t>
      </w:r>
    </w:p>
    <w:p>
      <w:pPr>
        <w:pStyle w:val="DiccionarioT2"/>
      </w:pPr>
      <w:bookmarkStart w:name="_Toc59479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Obligaciones reconocidas netas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(Capítulos 6 y 7)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Total obligaciones reconocidas netas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G-00- Se calcula como [26 (Capítulo 6)+26 (Capítulo 7)]/26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85" Type="http://schemas.openxmlformats.org/officeDocument/2006/relationships/hyperlink" Id="rId16"/>
    <Relationship TargetMode="External" Target="PreviewConcept.action?conceptCode=10785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