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608871">
            <w:r>
              <w:rPr>
                <w:rStyle w:val="Hyperlink"/>
              </w:rPr>
              <w:t>Indicador - Tasa de pago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_Toc3608871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088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_Toc3608872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088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_Toc3608873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608871" w:id="1"/>
      <w:r>
        <w:t>Indicador - Tasa de pago (%)</w:t>
      </w:r>
      <w:bookmarkEnd w:id="1"/>
    </w:p>
    <w:p>
      <w:pPr>
        <w:pStyle w:val="DiccionarioT2"/>
      </w:pPr>
      <w:bookmarkStart w:name="_Toc36088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pago que se obtiene de las cantidades pagadas en los estados de gastos (obligaciones) de la Universidad </w:t>
      </w:r>
    </w:p>
    <w:p>
      <w:pPr>
        <w:pStyle w:val="DiccionarioT2"/>
      </w:pPr>
      <w:bookmarkStart w:name="_Toc36088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pagadas (pagos netos)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48/26)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8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