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251641">
            <w:r>
              <w:rPr>
                <w:rStyle w:val="Hyperlink"/>
              </w:rPr>
              <w:t>Indicador - Obligaciones pendientes de pago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_Toc9251641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2516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_Toc9251642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2516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_Toc9251643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25164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_Toc9251644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251641" w:id="1"/>
      <w:r>
        <w:t>Indicador - Obligaciones pendientes de pago (€)</w:t>
      </w:r>
      <w:bookmarkEnd w:id="1"/>
    </w:p>
    <w:p>
      <w:pPr>
        <w:pStyle w:val="DiccionarioT2"/>
      </w:pPr>
      <w:bookmarkStart w:name="_Toc92516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Importe de las obligaciones pendientes de pago del presupuesto de gastos del año (n), correspondientes al conjunto de los centros universitarios propios de la Universidad</w:t>
      </w:r>
    </w:p>
    <w:p>
      <w:pPr>
        <w:pStyle w:val="DiccionarioT2"/>
      </w:pPr>
      <w:bookmarkStart w:name="_Toc92516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Pendiente de pago (G-00-51)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925164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02/09/2026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