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428581">
            <w:r>
              <w:rPr>
                <w:rStyle w:val="Hyperlink"/>
              </w:rPr>
              <w:t>Indicador - Coeficiente de Modificación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_Toc4428581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285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_Toc4428582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285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_Toc4428583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428581" w:id="1"/>
      <w:r>
        <w:t>Indicador - Coeficiente de Modificación (%)</w:t>
      </w:r>
      <w:bookmarkEnd w:id="1"/>
    </w:p>
    <w:p>
      <w:pPr>
        <w:pStyle w:val="DiccionarioT2"/>
      </w:pPr>
      <w:bookmarkStart w:name="_Toc44285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Coeficiente, expresado en términos porcentuales, de modificación del presupuesto de gastos. </w:t>
      </w:r>
    </w:p>
    <w:p>
      <w:pPr>
        <w:pStyle w:val="DiccionarioT2"/>
      </w:pPr>
      <w:bookmarkStart w:name="_Toc44285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(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definitivos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-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6" Type="http://schemas.openxmlformats.org/officeDocument/2006/relationships/hyperlink" Id="rId16"/>
    <Relationship TargetMode="External" Target="PreviewConcept.action?conceptCode=10764" Type="http://schemas.openxmlformats.org/officeDocument/2006/relationships/hyperlink" Id="rId17"/>
    <Relationship TargetMode="External" Target="PreviewConcept.action?conceptCode=1076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