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body>
    <!-- Modified by docx4j 8.3.4 (Apache licensed) using REFERENCE JAXB in Red Hat, Inc. Java 26.0.1 on Linux -->
    <w:p w:rsidRPr="008D5289" w:rsidR="00AB7AF0" w:rsidP="00CE4866" w:rsidRDefault="00A967DF" w14:paraId="3B33A61A" w14:textId="4B8F0DA2">
      <w:r>
        <w:t xml:space="preserve">AVISO: Este documento contiene un volcado del </w:t>
      </w:r>
      <w:r w:rsidR="00605DAA">
        <w:t>artículo</w:t>
      </w:r>
      <w:r>
        <w:t xml:space="preserve"> del diccionario seleccionado y todos los </w:t>
      </w:r>
      <w:r w:rsidR="00605DAA">
        <w:t>artículos</w:t>
      </w:r>
      <w:r>
        <w:t xml:space="preserve"> relacionados. Si desea realizar alguna modificación sobre estos datos, deberá acudir a la aplicación para realizar esta tarea.</w:t>
      </w:r>
    </w:p>
    <w:sdt>
      <w:sdtPr>
        <w:rPr>
          <w:rFonts w:asciiTheme="minorHAnsi" w:hAnsiTheme="minorHAnsi" w:eastAsiaTheme="minorHAnsi" w:cstheme="minorBidi"/>
          <w:color w:val="auto"/>
          <w:sz w:val="22"/>
          <w:szCs w:val="22"/>
          <w:lang w:eastAsia="en-US"/>
        </w:rPr>
        <w:id w:val="-303782790"/>
        <w:docPartObj>
          <w:docPartGallery w:val="Table of Contents"/>
          <w:docPartUnique/>
        </w:docPartObj>
      </w:sdtPr>
      <w:sdtContent>
        <w:p w:rsidR="00194D9C" w:rsidRDefault="00194D9C" w14:paraId="67D9059C" w14:textId="72DA2A93">
          <w:pPr>
            <w:pStyle w:val="TtuloTDC"/>
          </w:pPr>
          <w:r>
            <w:t>Contenido</w:t>
          </w:r>
        </w:p>
        <w:p>
          <w:pPr>
            <w:pStyle w:val="TDC1"/>
            <w:tabs>
              <w:tab w:val="right" w:leader="dot" w:pos="8504"/>
            </w:tabs>
            <w:rPr>
              <w:noProof/>
            </w:rPr>
          </w:pPr>
          <w:r>
            <w:fldChar w:fldCharType="begin"/>
          </w:r>
          <w:r>
            <w:instrText xml:space="preserve">TOC \o "1-3" \h \z \u</w:instrText>
          </w:r>
          <w:r>
            <w:fldChar w:fldCharType="separate"/>
          </w:r>
          <w:hyperlink w:anchor="_Toc8135331">
            <w:r>
              <w:rPr>
                <w:rStyle w:val="Hyperlink"/>
              </w:rPr>
              <w:t>Dimensiones - Cuadro de cuentas</w:t>
            </w:r>
            <w:r>
              <w:rPr>
                <w:noProof/>
                <w:webHidden/>
              </w:rPr>
              <w:tab/>
            </w:r>
            <w:r>
              <w:rPr>
                <w:noProof/>
                <w:webHidden/>
              </w:rPr>
              <w:fldChar w:fldCharType="begin"/>
            </w:r>
            <w:r>
              <w:rPr>
                <w:noProof/>
                <w:webHidden/>
              </w:rPr>
              <w:instrText xml:space="preserve">PAGEREF _Toc8135331 \h</w:instrText>
            </w:r>
            <w:r>
              <w:rPr>
                <w:noProof/>
                <w:webHidden/>
              </w:rPr>
            </w:r>
            <w:r>
              <w:rPr>
                <w:noProof/>
                <w:webHidden/>
              </w:rPr>
              <w:fldChar w:fldCharType="separate"/>
            </w:r>
            <w:r>
              <w:rPr>
                <w:noProof/>
                <w:webHidden/>
              </w:rPr>
              <w:t/>
            </w:r>
            <w:r>
              <w:rPr>
                <w:noProof/>
                <w:webHidden/>
              </w:rPr>
              <w:fldChar w:fldCharType="end"/>
            </w:r>
          </w:hyperlink>
        </w:p>
        <w:p>
          <w:pPr>
            <w:pStyle w:val="TDC2"/>
            <w:tabs>
              <w:tab w:val="right" w:leader="dot" w:pos="8504"/>
            </w:tabs>
            <w:rPr>
              <w:noProof/>
            </w:rPr>
          </w:pPr>
          <w:hyperlink w:anchor="_Toc8135332">
            <w:r>
              <w:rPr>
                <w:rStyle w:val="Hyperlink"/>
              </w:rPr>
              <w:t>Descripción</w:t>
            </w:r>
            <w:r>
              <w:rPr>
                <w:noProof/>
                <w:webHidden/>
              </w:rPr>
              <w:tab/>
            </w:r>
            <w:r>
              <w:rPr>
                <w:noProof/>
                <w:webHidden/>
              </w:rPr>
              <w:fldChar w:fldCharType="begin"/>
            </w:r>
            <w:r>
              <w:rPr>
                <w:noProof/>
                <w:webHidden/>
              </w:rPr>
              <w:instrText xml:space="preserve">PAGEREF _Toc8135332 \h</w:instrText>
            </w:r>
            <w:r>
              <w:rPr>
                <w:noProof/>
                <w:webHidden/>
              </w:rPr>
            </w:r>
            <w:r>
              <w:rPr>
                <w:noProof/>
                <w:webHidden/>
              </w:rPr>
              <w:fldChar w:fldCharType="separate"/>
            </w:r>
            <w:r>
              <w:rPr>
                <w:noProof/>
                <w:webHidden/>
              </w:rPr>
              <w:t/>
            </w:r>
            <w:r>
              <w:rPr>
                <w:noProof/>
                <w:webHidden/>
              </w:rPr>
              <w:fldChar w:fldCharType="end"/>
            </w:r>
          </w:hyperlink>
        </w:p>
        <w:p>
          <w:r>
            <w:fldChar w:fldCharType="end"/>
          </w:r>
        </w:p>
      </w:sdtContent>
    </w:sdt>
    <w:p>
      <w:br w:type="page"/>
    </w:p>
    <w:p>
      <w:pPr>
        <w:pStyle w:val="DiccionarioT1"/>
      </w:pPr>
      <w:bookmarkStart w:name="_Toc8135331" w:id="1"/>
      <w:r>
        <w:t>Dimensiones - Cuadro de cuentas</w:t>
      </w:r>
      <w:bookmarkEnd w:id="1"/>
    </w:p>
    <w:p>
      <w:pPr>
        <w:pStyle w:val="DiccionarioT2"/>
      </w:pPr>
      <w:bookmarkStart w:name="_Toc8135332" w:id="2"/>
      <w:r>
        <w:t>Descripción</w:t>
      </w:r>
      <w:bookmarkEnd w:id="2"/>
    </w:p>
    <w:p>
      <w:pPr>
        <w:spacing w:before="269" w:after="269"/>
        <w:ind w:left="0"/>
        <w:jc w:val="left"/>
      </w:pPr>
      <w:r>
        <w:rPr>
          <w:rFonts w:ascii="Calibri" w:hAnsi="Calibri"/>
          <w:b w:val="false"/>
          <w:i w:val="false"/>
          <w:color w:val="000000"/>
          <w:sz w:val="22"/>
        </w:rPr>
        <w:t>Se incluye dentro del bloque conceptual de Contabilidad. Se tendrán en cuenta datos del balance, la cuenta de resultado económico patrimonial, el estado de cambios en el patrimonio neto y el estado de flujos de efectivo.</w:t>
      </w:r>
    </w:p>
    <w:p>
      <w:pPr>
        <w:spacing w:before="269" w:after="269"/>
        <w:ind w:left="0"/>
        <w:jc w:val="left"/>
      </w:pPr>
      <w:r>
        <w:rPr>
          <w:rFonts w:ascii="Calibri" w:hAnsi="Calibri"/>
          <w:b w:val="false"/>
          <w:i w:val="false"/>
          <w:color w:val="000000"/>
          <w:sz w:val="22"/>
        </w:rPr>
        <w:t>El balance comprende con la debida separación, el activo, el pasivo y el patrimonio neto de la entidad.</w:t>
      </w:r>
    </w:p>
    <w:p>
      <w:pPr>
        <w:spacing w:before="269" w:after="269"/>
        <w:ind w:left="0"/>
        <w:jc w:val="left"/>
      </w:pPr>
      <w:r>
        <w:rPr>
          <w:rFonts w:ascii="Calibri" w:hAnsi="Calibri"/>
          <w:b w:val="false"/>
          <w:i w:val="false"/>
          <w:color w:val="000000"/>
          <w:sz w:val="22"/>
        </w:rPr>
        <w:t>La cuenta del resultado económico patrimonial recoge el resultado económico patrimonial obtenido en el ejercicio y está formada por los ingresos y los gastos del mismo, excepto cuando proceda su imputación directa al patrimonio neto de acuerdo con lo previsto en las normas de reconocimiento y valoración.</w:t>
      </w:r>
    </w:p>
    <w:p>
      <w:pPr>
        <w:spacing w:before="269" w:after="269"/>
        <w:ind w:left="0"/>
        <w:jc w:val="left"/>
      </w:pPr>
      <w:r>
        <w:rPr>
          <w:rFonts w:ascii="Calibri" w:hAnsi="Calibri"/>
          <w:b w:val="false"/>
          <w:i w:val="false"/>
          <w:color w:val="000000"/>
          <w:sz w:val="22"/>
        </w:rPr>
        <w:t>El estado de cambios en el patrimonio neto está dividido en tres partes:</w:t>
      </w:r>
    </w:p>
    <w:p>
      <w:pPr>
        <w:numPr>
          <w:ilvl w:val="0"/>
          <w:numId w:val="1"/>
        </w:numPr>
        <w:spacing w:before="0" w:after="0"/>
        <w:jc w:val="left"/>
      </w:pPr>
      <w:r>
        <w:rPr>
          <w:rFonts w:ascii="Calibri" w:hAnsi="Calibri"/>
          <w:b w:val="false"/>
          <w:i w:val="false"/>
          <w:color w:val="000000"/>
          <w:sz w:val="22"/>
        </w:rPr>
        <w:t>Estado total de cambios en el patrimonio neto.</w:t>
      </w:r>
    </w:p>
    <w:p>
      <w:pPr>
        <w:numPr>
          <w:ilvl w:val="0"/>
          <w:numId w:val="1"/>
        </w:numPr>
        <w:spacing w:before="0" w:after="0"/>
        <w:jc w:val="left"/>
      </w:pPr>
      <w:r>
        <w:rPr>
          <w:rFonts w:ascii="Calibri" w:hAnsi="Calibri"/>
          <w:b w:val="false"/>
          <w:i w:val="false"/>
          <w:color w:val="000000"/>
          <w:sz w:val="22"/>
        </w:rPr>
        <w:t>Estado de ingresos y gastos reconocidos.</w:t>
      </w:r>
    </w:p>
    <w:p>
      <w:pPr>
        <w:numPr>
          <w:ilvl w:val="0"/>
          <w:numId w:val="1"/>
        </w:numPr>
        <w:spacing w:before="0" w:after="0"/>
        <w:jc w:val="left"/>
      </w:pPr>
      <w:r>
        <w:rPr>
          <w:rFonts w:ascii="Calibri" w:hAnsi="Calibri"/>
          <w:b w:val="false"/>
          <w:i w:val="false"/>
          <w:color w:val="000000"/>
          <w:sz w:val="22"/>
        </w:rPr>
        <w:t>Estado de operaciones con la entidad o entidades propietarias.</w:t>
      </w:r>
    </w:p>
    <w:p>
      <w:pPr>
        <w:spacing w:before="269" w:after="269"/>
        <w:ind w:left="0"/>
        <w:jc w:val="left"/>
      </w:pPr>
      <w:r>
        <w:rPr>
          <w:rFonts w:ascii="Calibri" w:hAnsi="Calibri"/>
          <w:b w:val="false"/>
          <w:i w:val="false"/>
          <w:color w:val="000000"/>
          <w:sz w:val="22"/>
        </w:rPr>
        <w:t>El estado de flujos de efectivo informa sobre el origen y destino de los movimientos habidos en las partidas monetarias de activo representativas de efectivo y otros activos líquidos equivalentes, e indica la variación neta sufrida por las mismas en el ejercicio.</w:t>
      </w:r>
    </w:p>
    <w:p>
      <w:pPr>
        <w:spacing w:before="269" w:after="269"/>
        <w:ind w:left="0"/>
        <w:jc w:val="left"/>
      </w:pPr>
      <w:r>
        <w:rPr>
          <w:rFonts w:ascii="Calibri" w:hAnsi="Calibri"/>
          <w:b w:val="false"/>
          <w:i w:val="false"/>
          <w:color w:val="000000"/>
          <w:sz w:val="22"/>
        </w:rPr>
        <w:t>El cuadro de cuentas es un listado que comprende todas las cuentas contables que pueden ser utilizadas al desarrollar la contabilidad de una determinada universidad. Este cuadro puede estar acompañado de información complementaria que indique para cada una de las cuentas, los motivos de cargo, abono y el significado del saldo.</w:t>
      </w:r>
    </w:p>
    <w:p>
      <w:pPr>
        <w:spacing w:before="269" w:after="269"/>
        <w:ind w:left="0"/>
        <w:jc w:val="left"/>
      </w:pPr>
      <w:r>
        <w:rPr>
          <w:rFonts w:ascii="Calibri" w:hAnsi="Calibri"/>
          <w:b w:val="false"/>
          <w:i w:val="false"/>
          <w:color w:val="000000"/>
          <w:sz w:val="22"/>
        </w:rPr>
        <w:t>El cuadro debe suponer una clasificación, distribución y agrupación de cuentas de acuerdo con el inventario patrimonial, permitiendo distinguir los elementos del activo y el pasivo, clasificándolas y agrupándolas de acuerdo con la naturaleza de los elementos que integran el patrimonio y de las operaciones de la entidad, separando las cuentas de balance de las cuentas de resultados. Según estos principios, las cuentas son ordenadas mediante la asignación de un código único y una descripción de la misma.</w:t>
      </w:r>
    </w:p>
    <w:p>
      <w:pPr>
        <w:spacing w:before="269" w:after="269"/>
        <w:ind w:left="0"/>
        <w:jc w:val="left"/>
      </w:pPr>
      <w:r>
        <w:rPr>
          <w:rFonts w:ascii="Calibri" w:hAnsi="Calibri"/>
          <w:b w:val="false"/>
          <w:i w:val="false"/>
          <w:color w:val="000000"/>
          <w:sz w:val="22"/>
        </w:rPr>
        <w:t>El cuadro de cuentas, contiene los grupos, subgrupos y cuentas, manteniendo la clasificación decimal del PGCP´94. Las cuentas de los grupos 1 a 5 contienen las cuentas de balance, los grupos 6 y 7 las de gestión y demás componentes del resultado. Se han incorporado dos nuevos grupos, el 8 y el 9, para incluir los gastos e ingresos imputados al patrimonio neto, respectivamente.</w:t>
      </w:r>
    </w:p>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val="false"/>
          <w:color w:val="000000"/>
          <w:sz w:val="22"/>
        </w:rPr>
        <w:t>CUADRO DE CUENTAS:</w:t>
      </w:r>
    </w:p>
    <w:p>
      <w:pPr>
        <w:spacing w:before="269" w:after="269"/>
        <w:ind w:left="0"/>
        <w:jc w:val="left"/>
      </w:pPr>
      <w:r>
        <w:rPr>
          <w:rFonts w:ascii="Calibri" w:hAnsi="Calibri"/>
          <w:b w:val="false"/>
          <w:i w:val="false"/>
          <w:color w:val="000000"/>
          <w:sz w:val="22"/>
        </w:rPr>
        <w:t>Las cuentas contables se clasifican por niveles en grupo, subgrupo, cuenta y subcuenta.</w:t>
      </w:r>
    </w:p>
    <w:p>
      <w:pPr>
        <w:spacing w:before="269" w:after="269"/>
        <w:ind w:left="0"/>
        <w:jc w:val="left"/>
      </w:pPr>
      <w:r>
        <w:rPr>
          <w:rFonts w:ascii="Calibri" w:hAnsi="Calibri"/>
          <w:b w:val="false"/>
          <w:i w:val="false"/>
          <w:color w:val="000000"/>
          <w:sz w:val="22"/>
        </w:rPr>
        <w:t>El grupo es el nivel 1 y consta de 1 dígito. Hay subgrupos de nivel 2 y consta de 2 dígitos, las cuentas son de nivel tres y cuentan con 3 dígitos; y las subcuentas son de nivel 4 y constan de 4 dígitos.</w:t>
      </w:r>
    </w:p>
    <w:p>
      <w:pPr>
        <w:spacing w:before="269" w:after="269"/>
        <w:ind w:left="0"/>
        <w:jc w:val="left"/>
      </w:pPr>
      <w:r>
        <w:rPr>
          <w:rFonts w:ascii="Calibri" w:hAnsi="Calibri"/>
          <w:b w:val="false"/>
          <w:i w:val="false"/>
          <w:color w:val="000000"/>
          <w:sz w:val="22"/>
        </w:rPr>
        <w:t>Se muestra un ejemplo a continuación de la estructura del cuadro de cuentas:</w:t>
      </w:r>
    </w:p>
    <w:tbl>
      <w:tblPr>
        <w:tblW w:w="0" w:type="auto"/>
        <w:tblCellSpacing w:w="20" w:type="dxa"/>
        <w:tblBorders>
          <w:top w:val="none"/>
          <w:left w:val="none"/>
          <w:bottom w:val="none"/>
          <w:right w:val="none"/>
          <w:insideH w:val="none"/>
          <w:insideV w:val="none"/>
        </w:tblBorders>
      </w:tblPr>
      <w:tblGrid>
        <w:gridCol w:w="12370"/>
      </w:tblGrid>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val="false"/>
                <w:i w:val="false"/>
                <w:color w:val="000000"/>
                <w:sz w:val="22"/>
              </w:rPr>
              <w:t>17. DEUDAS A LARGO PLAZO POR PRÉSTAMOS RECIBIDOS Y OTROS CONCEPTOS.</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170. Deudas a largo plazo con entidades de crédito.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171. Deudas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172. Deudas a largo plazo transformables en subvenciones.</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173. Proveedores de inmovilizado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174. Acreedores por arrendamiento financiero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176. Pasivos por derivados financieros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val="false"/>
                <w:i w:val="false"/>
                <w:color w:val="000000"/>
                <w:sz w:val="22"/>
              </w:rPr>
              <w:t>1760. Pasivos por derivados financieros a largo plazo designados instrumentos de cobertura.</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val="false"/>
                <w:i w:val="false"/>
                <w:color w:val="000000"/>
                <w:sz w:val="22"/>
              </w:rPr>
              <w:t>1761. Pasivos por otros derivados financieros a largo plazo.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177. Intereses a largo plazo de deudas con entidades de crédito.</w:t>
            </w:r>
          </w:p>
        </w:tc>
      </w:tr>
      <w:tr>
        <w:trPr>
          <w:trHeight w:val="30" w:hRule="atLeast"/>
        </w:trPr>
        <w:tc>
          <w:tcPr>
            <w:tcW w:w="12370" w:type="dxa"/>
            <w:tcBorders/>
            <w:tcMar>
              <w:top w:w="15" w:type="dxa"/>
              <w:left w:w="15" w:type="dxa"/>
              <w:bottom w:w="15" w:type="dxa"/>
              <w:right w:w="15" w:type="dxa"/>
            </w:tcMar>
            <w:vAlign w:val="center"/>
          </w:tcPr>
          <w:p>
            <w:pPr>
              <w:spacing w:before="269" w:after="269"/>
              <w:ind w:left="15"/>
              <w:jc w:val="left"/>
            </w:pPr>
            <w:r>
              <w:rPr>
                <w:rFonts w:ascii="Calibri" w:hAnsi="Calibri"/>
                <w:b/>
                <w:i w:val="false"/>
                <w:color w:val="000000"/>
                <w:sz w:val="22"/>
              </w:rPr>
              <w:t>178. Intereses a largo plazo de otras deudas.</w:t>
            </w:r>
          </w:p>
        </w:tc>
      </w:tr>
    </w:tbl>
    <w:p>
      <w:pPr>
        <w:spacing w:before="269" w:after="269"/>
        <w:ind w:left="0"/>
        <w:jc w:val="left"/>
      </w:pPr>
      <w:r>
        <w:rPr>
          <w:rFonts w:ascii="Calibri" w:hAnsi="Calibri"/>
          <w:b w:val="false"/>
          <w:i w:val="false"/>
          <w:color w:val="000000"/>
          <w:sz w:val="22"/>
        </w:rPr>
        <w:t> </w:t>
      </w:r>
    </w:p>
    <w:p>
      <w:pPr>
        <w:spacing w:before="269" w:after="269"/>
        <w:ind w:left="0"/>
        <w:jc w:val="left"/>
      </w:pPr>
      <w:r>
        <w:rPr>
          <w:rFonts w:ascii="Calibri" w:hAnsi="Calibri"/>
          <w:b w:val="false"/>
          <w:i w:val="false"/>
          <w:color w:val="000000"/>
          <w:sz w:val="22"/>
        </w:rPr>
        <w:t> </w:t>
      </w:r>
      <w:r>
        <w:rPr>
          <w:rFonts w:ascii="Calibri" w:hAnsi="Calibri"/>
          <w:b/>
          <w:i w:val="false"/>
          <w:color w:val="000000"/>
          <w:sz w:val="22"/>
        </w:rPr>
        <w:t>Dimensiones relacionadas:</w:t>
      </w:r>
    </w:p>
    <w:p>
      <w:pPr>
        <w:spacing w:before="269" w:after="269"/>
        <w:ind w:left="0"/>
        <w:jc w:val="left"/>
      </w:pPr>
      <w:r>
        <w:rPr>
          <w:rFonts w:ascii="Calibri" w:hAnsi="Calibri"/>
          <w:b w:val="false"/>
          <w:i w:val="false"/>
          <w:color w:val="000000"/>
          <w:sz w:val="22"/>
        </w:rPr>
        <w:t>Es importante la obtención de datos de otros bloques, en concreto del de investigación y de económico, al ser necesario conocer la financiación afectada.</w:t>
      </w:r>
    </w:p>
    <w:p>
      <w:pPr>
        <w:numPr>
          <w:ilvl w:val="0"/>
          <w:numId w:val="2"/>
        </w:numPr>
        <w:spacing w:before="0" w:after="0"/>
        <w:jc w:val="left"/>
      </w:pPr>
      <w:r>
        <w:rPr>
          <w:rFonts w:ascii="Calibri" w:hAnsi="Calibri"/>
          <w:b w:val="false"/>
          <w:i w:val="false"/>
          <w:color w:val="000000"/>
          <w:sz w:val="22"/>
        </w:rPr>
        <w:t>Tercero: Definición genérica de personas o empresas que tienen una relación con la Universidad.</w:t>
      </w:r>
    </w:p>
    <w:p>
      <w:pPr>
        <w:numPr>
          <w:ilvl w:val="0"/>
          <w:numId w:val="2"/>
        </w:numPr>
        <w:spacing w:before="0" w:after="0"/>
        <w:jc w:val="left"/>
      </w:pPr>
      <w:r>
        <w:rPr>
          <w:rFonts w:ascii="Calibri" w:hAnsi="Calibri"/>
          <w:b w:val="false"/>
          <w:i w:val="false"/>
          <w:color w:val="000000"/>
          <w:sz w:val="22"/>
        </w:rPr>
        <w:t>Documento contable: Se denomina documento contable al soporte de las anotaciones contables que se realicen como consecuencia de las operaciones de gestión del presupuesto de una Entidad Pública.</w:t>
      </w:r>
      <w:r>
        <w:br/>
      </w:r>
    </w:p>
    <w:p>
      <w:pPr>
        <w:numPr>
          <w:ilvl w:val="1"/>
          <w:numId w:val="2"/>
        </w:numPr>
        <w:spacing w:before="0" w:after="0"/>
        <w:jc w:val="left"/>
      </w:pPr>
      <w:r>
        <w:rPr>
          <w:rFonts w:ascii="Calibri" w:hAnsi="Calibri"/>
          <w:b w:val="false"/>
          <w:i w:val="false"/>
          <w:color w:val="000000"/>
          <w:sz w:val="22"/>
        </w:rPr>
        <w:t>Atributos relacionados:</w:t>
      </w:r>
      <w:r>
        <w:br/>
      </w:r>
    </w:p>
    <w:p>
      <w:pPr>
        <w:numPr>
          <w:ilvl w:val="2"/>
          <w:numId w:val="2"/>
        </w:numPr>
        <w:spacing w:before="0" w:after="0"/>
        <w:jc w:val="left"/>
      </w:pPr>
      <w:r>
        <w:rPr>
          <w:rFonts w:ascii="Calibri" w:hAnsi="Calibri"/>
          <w:b w:val="false"/>
          <w:i w:val="false"/>
          <w:color w:val="000000"/>
          <w:sz w:val="22"/>
          <w:u w:val="single"/>
        </w:rPr>
        <w:t>Número del documento:</w:t>
      </w:r>
      <w:r>
        <w:rPr>
          <w:rFonts w:ascii="Calibri" w:hAnsi="Calibri"/>
          <w:b w:val="false"/>
          <w:i w:val="false"/>
          <w:color w:val="000000"/>
          <w:sz w:val="22"/>
        </w:rPr>
        <w:t xml:space="preserve"> identificador único de cada documento contable.</w:t>
      </w:r>
    </w:p>
    <w:p>
      <w:pPr>
        <w:numPr>
          <w:ilvl w:val="0"/>
          <w:numId w:val="2"/>
        </w:numPr>
        <w:spacing w:before="0" w:after="0"/>
        <w:jc w:val="left"/>
      </w:pPr>
      <w:r>
        <w:rPr>
          <w:rFonts w:ascii="Calibri" w:hAnsi="Calibri"/>
          <w:b w:val="false"/>
          <w:i w:val="false"/>
          <w:color w:val="000000"/>
          <w:sz w:val="22"/>
        </w:rPr>
        <w:t>Asiento de operaciones: Se denomina asiento de operaciones al proceso mediante el cual el sistema realiza la ejecución presupuestaria que corresponda a la entidad en cuestión.</w:t>
      </w:r>
    </w:p>
    <w:p>
      <w:pPr>
        <w:numPr>
          <w:ilvl w:val="1"/>
          <w:numId w:val="3"/>
        </w:numPr>
        <w:spacing w:before="0" w:after="0"/>
        <w:jc w:val="left"/>
      </w:pPr>
      <w:r>
        <w:rPr>
          <w:rFonts w:ascii="Calibri" w:hAnsi="Calibri"/>
          <w:b w:val="false"/>
          <w:i w:val="false"/>
          <w:color w:val="000000"/>
          <w:sz w:val="22"/>
        </w:rPr>
        <w:t>Atributos relacionados:</w:t>
      </w:r>
    </w:p>
    <w:p>
      <w:pPr>
        <w:numPr>
          <w:ilvl w:val="2"/>
          <w:numId w:val="4"/>
        </w:numPr>
        <w:spacing w:before="0" w:after="0"/>
        <w:jc w:val="left"/>
      </w:pPr>
      <w:r>
        <w:rPr>
          <w:rFonts w:ascii="Calibri" w:hAnsi="Calibri"/>
          <w:b w:val="false"/>
          <w:i w:val="false"/>
          <w:color w:val="000000"/>
          <w:sz w:val="22"/>
          <w:u w:val="single"/>
        </w:rPr>
        <w:t>Fecha del asiento:</w:t>
      </w:r>
      <w:r>
        <w:rPr>
          <w:rFonts w:ascii="Calibri" w:hAnsi="Calibri"/>
          <w:b w:val="false"/>
          <w:i w:val="false"/>
          <w:color w:val="000000"/>
          <w:sz w:val="22"/>
        </w:rPr>
        <w:t xml:space="preserve"> fecha en la que se realiza el asiento.</w:t>
      </w:r>
    </w:p>
    <w:p>
      <w:pPr>
        <w:spacing w:before="269" w:after="269"/>
        <w:ind w:left="2160"/>
        <w:jc w:val="left"/>
      </w:pPr>
      <w:r>
        <w:rPr>
          <w:rFonts w:ascii="Calibri" w:hAnsi="Calibri"/>
          <w:b w:val="false"/>
          <w:i w:val="false"/>
          <w:color w:val="000000"/>
          <w:sz w:val="22"/>
        </w:rPr>
        <w:t> </w:t>
      </w:r>
    </w:p>
    <w:sectPr w:rsidRPr="007C6722" w:rsidR="0071652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endnote w:type="separator" w:id="-1">
    <w:p w:rsidR="005F571B" w:rsidP="00194D9C" w:rsidRDefault="005F571B" w14:paraId="09650290" w14:textId="77777777">
      <w:pPr>
        <w:spacing w:after="0" w:line="240" w:lineRule="auto"/>
      </w:pPr>
      <w:r>
        <w:separator/>
      </w:r>
    </w:p>
  </w:endnote>
  <w:endnote w:type="continuationSeparator" w:id="0">
    <w:p w:rsidR="005F571B" w:rsidP="00194D9C" w:rsidRDefault="005F571B" w14:paraId="7CCDB12E" w14:textId="77777777">
      <w:pPr>
        <w:spacing w:after="0" w:line="240" w:lineRule="auto"/>
      </w:pPr>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6E917B1" w14:textId="77777777">
    <w:pPr>
      <w:pStyle w:val="Piedepgina"/>
    </w:pPr>
  </w:p>
</w:ftr>
</file>

<file path=word/footer2.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194D9C" w:rsidRDefault="009E24A4" w14:paraId="03F6E09F" w14:textId="6E6DDD05">
    <w:pPr>
      <w:pStyle w:val="Piedepgina"/>
    </w:pPr>
    <w:r>
      <w:ptab w:alignment="center" w:relativeTo="margin" w:leader="none"/>
    </w:r>
    <w:r>
      <w:t xml:space="preserve">Página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rPr>
      <w:t>2</w:t>
    </w:r>
    <w:r>
      <w:rPr>
        <w:b/>
        <w:bCs/>
      </w:rPr>
      <w:fldChar w:fldCharType="end"/>
    </w:r>
    <w:r>
      <w:ptab w:alignment="right" w:relativeTo="margin" w:leader="none"/>
    </w:r>
    <w:r w:rsidR="001F3A22">
      <w:t>26/06/2026</w:t>
    </w:r>
  </w:p>
</w:ftr>
</file>

<file path=word/footer3.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5CB2FD86" w14:textId="77777777">
    <w:pPr>
      <w:pStyle w:val="Piedepgin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footnote w:type="separator" w:id="-1">
    <w:p w:rsidR="005F571B" w:rsidP="00194D9C" w:rsidRDefault="005F571B" w14:paraId="6B37B324" w14:textId="77777777">
      <w:pPr>
        <w:spacing w:after="0" w:line="240" w:lineRule="auto"/>
      </w:pPr>
      <w:r>
        <w:separator/>
      </w:r>
    </w:p>
  </w:footnote>
  <w:footnote w:type="continuationSeparator" w:id="0">
    <w:p w:rsidR="005F571B" w:rsidP="00194D9C" w:rsidRDefault="005F571B" w14:paraId="01A7B188" w14:textId="77777777">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2E9F113F" w14:textId="77777777">
    <w:pPr>
      <w:pStyle w:val="Encabezado"/>
    </w:pPr>
  </w:p>
</w:hdr>
</file>

<file path=word/header2.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Pr="009F7F50" w:rsidR="00194D9C" w:rsidP="009F7F50" w:rsidRDefault="008A37B4" w14:paraId="1D0F9DE4" w14:textId="21D57A7B">
    <w:pPr>
      <w:pStyle w:val="Encabezado"/>
    </w:pPr>
    <w:r w:rsidRPr="008A37B4">
      <w:drawing>
        <wp:inline distT="0" distB="0" distL="0" distR="0">
          <wp:extent cx="1127760" cy="342265"/>
          <wp:effectExtent l="0" t="0" r="0" b="635"/>
          <wp:docPr id="31" name="Imagen 30" descr="Imagen que contiene Texto&#10;&#10;Descripción generada automáticamente"/>
          <wp:cNvGraphicFramePr/>
          <a:graphic>
            <a:graphicData uri="http://schemas.openxmlformats.org/drawingml/2006/picture">
              <pic:pic>
                <pic:nvPicPr>
                  <pic:cNvPr id="31" name="Imagen 30" descr="Imagen que contiene Texto&#10;&#10;Descripción generada automáticamente"/>
                  <pic:cNvPicPr/>
                </pic:nvPicPr>
                <pic:blipFill>
                  <a:blip cstate="print" r:embed="rId1">
                    <a:extLst>
                      <a:ext uri="{28A0092B-C50C-407E-A947-70E740481C1C}">
                        <a14:useLocalDpi val="false"/>
                      </a:ext>
                    </a:extLst>
                  </a:blip>
                  <a:srcRect/>
                  <a:stretch>
                    <a:fillRect/>
                  </a:stretch>
                </pic:blipFill>
                <pic:spPr bwMode="auto">
                  <a:xfrm>
                    <a:off x="0" y="0"/>
                    <a:ext cx="1127760" cy="342265"/>
                  </a:xfrm>
                  <a:prstGeom prst="rect">
                    <a:avLst/>
                  </a:prstGeom>
                  <a:noFill/>
                  <a:ln>
                    <a:noFill/>
                  </a:ln>
                </pic:spPr>
              </pic:pic>
            </a:graphicData>
          </a:graphic>
        </wp:inline>
      </w:drawing>
    </w:r>
  </w:p>
</w:hdr>
</file>

<file path=word/header3.xml><?xml version="1.0" encoding="utf-8"?>
<w:hd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p14">
  <w:p w:rsidR="008A37B4" w:rsidRDefault="008A37B4" w14:paraId="72D69E2D" w14:textId="77777777">
    <w:pPr>
      <w:pStyle w:val="Encabezado"/>
    </w:pP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1">
    <w:multiLevelType w:val="multilevel"/>
    <w:lvl w:ilvl="0">
      <w:start w:val="1"/>
      <w:numFmt w:val="decimal"/>
      <w:lvlText w:val="%1."/>
      <w:lvlJc w:val="left"/>
      <w:pPr>
        <w:ind w:left="960" w:hanging="360"/>
      </w:pPr>
    </w:lvl>
  </w:abstractNum>
  <w:abstractNum w:abstractNumId="2">
    <w:multiLevelType w:val="multilevel"/>
    <w:lvl w:ilvl="0">
      <w:start w:val="1"/>
      <w:numFmt w:val="bullet"/>
      <w:lvlText w:val=""/>
      <w:lvlJc w:val="left"/>
      <w:pPr>
        <w:ind w:left="960" w:hanging="360"/>
      </w:pPr>
      <w:rPr>
        <w:rFonts w:hint="default" w:ascii="Symbol" w:hAnsi="Symbol"/>
      </w:rPr>
    </w:lvl>
    <w:lvl w:ilvl="1">
      <w:start w:val="1"/>
      <w:numFmt w:val="bullet"/>
      <w:lvlText w:val="o"/>
      <w:lvlJc w:val="left"/>
      <w:pPr>
        <w:ind w:left="156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abstractNum>
  <w:num w:numId="1">
    <w:abstractNumId w:val="1"/>
  </w:num>
  <w:num w:numId="2">
    <w:abstractNumId w:val="2"/>
  </w:num>
  <w:num w:numId="3">
    <w:abstractNumId w:val="2"/>
    <w:lvlOverride w:ilvl="1">
      <w:startOverride w:val="1"/>
      <w:lvl w:ilvl="1">
        <w:numFmt w:val="bullet"/>
        <w:lvlText w:val="o"/>
        <w:pPr>
          <w:ind w:left="1560" w:hanging="360"/>
        </w:pPr>
        <w:rPr>
          <w:rFonts w:hint="default" w:ascii="Courier New" w:hAnsi="Courier New" w:cs="Courier New"/>
        </w:rPr>
      </w:lvl>
    </w:lvlOverride>
  </w:num>
  <w:num w:numId="4">
    <w:abstractNumId w:val="2"/>
    <w:lvlOverride w:ilvl="2">
      <w:startOverride w:val="1"/>
      <w:lvl w:ilvl="2">
        <w:numFmt w:val="bullet"/>
        <w:lvlText w:val=""/>
        <w:pPr>
          <w:ind w:left="2160" w:hanging="360"/>
        </w:pPr>
        <w:rPr>
          <w:rFonts w:hint="default" w:ascii="Wingdings" w:hAnsi="Wingdings"/>
        </w:rPr>
      </w:lvl>
    </w:lvlOverride>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D9C"/>
    <w:rsid w:val="000E4E9A"/>
    <w:rsid w:val="00110083"/>
    <w:rsid w:val="0012283E"/>
    <w:rsid w:val="00132BCF"/>
    <w:rsid w:val="00194D9C"/>
    <w:rsid w:val="001D0D98"/>
    <w:rsid w:val="001F3A22"/>
    <w:rsid w:val="00322415"/>
    <w:rsid w:val="003D082A"/>
    <w:rsid w:val="00497EB0"/>
    <w:rsid w:val="005F571B"/>
    <w:rsid w:val="00605DAA"/>
    <w:rsid w:val="006D2EC2"/>
    <w:rsid w:val="0071652F"/>
    <w:rsid w:val="007C6722"/>
    <w:rsid w:val="008A37B4"/>
    <w:rsid w:val="008D5289"/>
    <w:rsid w:val="009A0749"/>
    <w:rsid w:val="009E24A4"/>
    <w:rsid w:val="009F43E7"/>
    <w:rsid w:val="009F7F50"/>
    <w:rsid w:val="00A0705A"/>
    <w:rsid w:val="00A967DF"/>
    <w:rsid w:val="00AB7AF0"/>
    <w:rsid w:val="00CC374E"/>
    <w:rsid w:val="00CE4866"/>
    <w:rsid w:val="00EE6789"/>
    <w:rsid w:val="00F64136"/>
    <w:rsid w:val="00F74C47"/>
    <w:rsid w:val="00FE54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5:chartTrackingRefBased/>
  <w14:docId w14:val="64AAEF4B"/>
  <w15:docId w15:val="{3AAE9707-0ED5-4B78-AFAF-14D780C249E8}"/>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dh="http://schemas.microsoft.com/office/word/2020/wordml/sdtdatahash" xmlns:w16="http://schemas.microsoft.com/office/word/2018/wordml" mc:Ignorable="w14 w15 w16se w16cid w16 w16cex w16sdtdh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Ttulo1">
    <w:name w:val="heading 1"/>
    <w:basedOn w:val="Normal"/>
    <w:next w:val="Normal"/>
    <w:link w:val="Ttulo1Car"/>
    <w:uiPriority w:val="9"/>
    <w:qFormat/>
    <w:rsid w:val="00194D9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Ttulo2">
    <w:name w:val="heading 2"/>
    <w:basedOn w:val="Normal"/>
    <w:next w:val="Normal"/>
    <w:link w:val="Ttulo2Car"/>
    <w:uiPriority w:val="9"/>
    <w:unhideWhenUsed/>
    <w:qFormat/>
    <w:rsid w:val="00194D9C"/>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ar"/>
    <w:uiPriority w:val="9"/>
    <w:unhideWhenUsed/>
    <w:qFormat/>
    <w:rsid w:val="00194D9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Ttulo4">
    <w:name w:val="heading 4"/>
    <w:basedOn w:val="Normal"/>
    <w:next w:val="Normal"/>
    <w:link w:val="Ttulo4Car"/>
    <w:uiPriority w:val="9"/>
    <w:unhideWhenUsed/>
    <w:qFormat/>
    <w:rsid w:val="00194D9C"/>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Fuentedeprrafopredeter" w:default="true">
    <w:name w:val="Default Paragraph Font"/>
    <w:uiPriority w:val="1"/>
    <w:unhideWhenUsed/>
  </w:style>
  <w:style w:type="table" w:styleId="Tablanormal" w:default="true">
    <w:name w:val="Normal Table"/>
    <w:uiPriority w:val="99"/>
    <w:semiHidden/>
    <w:unhideWhenUsed/>
    <w:tblPr>
      <w:tblInd w:w="0" w:type="dxa"/>
      <w:tblCellMar>
        <w:top w:w="0" w:type="dxa"/>
        <w:left w:w="108" w:type="dxa"/>
        <w:bottom w:w="0" w:type="dxa"/>
        <w:right w:w="108" w:type="dxa"/>
      </w:tblCellMar>
    </w:tblPr>
  </w:style>
  <w:style w:type="numbering" w:styleId="Sinlista" w:default="true">
    <w:name w:val="No List"/>
    <w:uiPriority w:val="99"/>
    <w:semiHidden/>
    <w:unhideWhenUsed/>
  </w:style>
  <w:style w:type="paragraph" w:styleId="Encabezado">
    <w:name w:val="header"/>
    <w:basedOn w:val="Normal"/>
    <w:link w:val="EncabezadoCar"/>
    <w:uiPriority w:val="99"/>
    <w:unhideWhenUsed/>
    <w:rsid w:val="00194D9C"/>
    <w:pPr>
      <w:tabs>
        <w:tab w:val="center" w:pos="4252"/>
        <w:tab w:val="right" w:pos="8504"/>
      </w:tabs>
      <w:spacing w:after="0" w:line="240" w:lineRule="auto"/>
    </w:pPr>
  </w:style>
  <w:style w:type="character" w:styleId="EncabezadoCar" w:customStyle="true">
    <w:name w:val="Encabezado Car"/>
    <w:basedOn w:val="Fuentedeprrafopredeter"/>
    <w:link w:val="Encabezado"/>
    <w:uiPriority w:val="99"/>
    <w:rsid w:val="00194D9C"/>
  </w:style>
  <w:style w:type="paragraph" w:styleId="Piedepgina">
    <w:name w:val="footer"/>
    <w:basedOn w:val="Normal"/>
    <w:link w:val="PiedepginaCar"/>
    <w:uiPriority w:val="99"/>
    <w:unhideWhenUsed/>
    <w:rsid w:val="00194D9C"/>
    <w:pPr>
      <w:tabs>
        <w:tab w:val="center" w:pos="4252"/>
        <w:tab w:val="right" w:pos="8504"/>
      </w:tabs>
      <w:spacing w:after="0" w:line="240" w:lineRule="auto"/>
    </w:pPr>
  </w:style>
  <w:style w:type="character" w:styleId="PiedepginaCar" w:customStyle="true">
    <w:name w:val="Pie de página Car"/>
    <w:basedOn w:val="Fuentedeprrafopredeter"/>
    <w:link w:val="Piedepgina"/>
    <w:uiPriority w:val="99"/>
    <w:rsid w:val="00194D9C"/>
  </w:style>
  <w:style w:type="character" w:styleId="Ttulo1Car" w:customStyle="true">
    <w:name w:val="Título 1 Car"/>
    <w:basedOn w:val="Fuentedeprrafopredeter"/>
    <w:link w:val="Ttulo1"/>
    <w:uiPriority w:val="9"/>
    <w:rsid w:val="00194D9C"/>
    <w:rPr>
      <w:rFonts w:asciiTheme="majorHAnsi" w:hAnsiTheme="majorHAnsi" w:eastAsiaTheme="majorEastAsia" w:cstheme="majorBidi"/>
      <w:color w:val="2F5496" w:themeColor="accent1" w:themeShade="BF"/>
      <w:sz w:val="32"/>
      <w:szCs w:val="32"/>
    </w:rPr>
  </w:style>
  <w:style w:type="character" w:styleId="Ttulo2Car" w:customStyle="true">
    <w:name w:val="Título 2 Car"/>
    <w:basedOn w:val="Fuentedeprrafopredeter"/>
    <w:link w:val="Ttulo2"/>
    <w:uiPriority w:val="9"/>
    <w:rsid w:val="00194D9C"/>
    <w:rPr>
      <w:rFonts w:asciiTheme="majorHAnsi" w:hAnsiTheme="majorHAnsi" w:eastAsiaTheme="majorEastAsia" w:cstheme="majorBidi"/>
      <w:color w:val="2F5496" w:themeColor="accent1" w:themeShade="BF"/>
      <w:sz w:val="26"/>
      <w:szCs w:val="26"/>
    </w:rPr>
  </w:style>
  <w:style w:type="character" w:styleId="Ttulo3Car" w:customStyle="true">
    <w:name w:val="Título 3 Car"/>
    <w:basedOn w:val="Fuentedeprrafopredeter"/>
    <w:link w:val="Ttulo3"/>
    <w:uiPriority w:val="9"/>
    <w:rsid w:val="00194D9C"/>
    <w:rPr>
      <w:rFonts w:asciiTheme="majorHAnsi" w:hAnsiTheme="majorHAnsi" w:eastAsiaTheme="majorEastAsia" w:cstheme="majorBidi"/>
      <w:color w:val="1F3763" w:themeColor="accent1" w:themeShade="7F"/>
      <w:sz w:val="24"/>
      <w:szCs w:val="24"/>
    </w:rPr>
  </w:style>
  <w:style w:type="character" w:styleId="Ttulo4Car" w:customStyle="true">
    <w:name w:val="Título 4 Car"/>
    <w:basedOn w:val="Fuentedeprrafopredeter"/>
    <w:link w:val="Ttulo4"/>
    <w:uiPriority w:val="9"/>
    <w:rsid w:val="00194D9C"/>
    <w:rPr>
      <w:rFonts w:asciiTheme="majorHAnsi" w:hAnsiTheme="majorHAnsi" w:eastAsiaTheme="majorEastAsia" w:cstheme="majorBidi"/>
      <w:i/>
      <w:iCs/>
      <w:color w:val="2F5496" w:themeColor="accent1" w:themeShade="BF"/>
    </w:rPr>
  </w:style>
  <w:style w:type="paragraph" w:styleId="TtuloTDC">
    <w:name w:val="TOC Heading"/>
    <w:basedOn w:val="Ttulo1"/>
    <w:next w:val="Normal"/>
    <w:uiPriority w:val="39"/>
    <w:unhideWhenUsed/>
    <w:qFormat/>
    <w:rsid w:val="00194D9C"/>
    <w:pPr>
      <w:outlineLvl w:val="9"/>
    </w:pPr>
    <w:rPr>
      <w:lang w:eastAsia="es-ES"/>
    </w:rPr>
  </w:style>
  <w:style w:type="paragraph" w:styleId="TDC1">
    <w:name w:val="toc 1"/>
    <w:basedOn w:val="Normal"/>
    <w:next w:val="Normal"/>
    <w:autoRedefine/>
    <w:uiPriority w:val="39"/>
    <w:unhideWhenUsed/>
    <w:rsid w:val="00194D9C"/>
    <w:pPr>
      <w:spacing w:after="100"/>
    </w:pPr>
  </w:style>
  <w:style w:type="paragraph" w:styleId="TDC2">
    <w:name w:val="toc 2"/>
    <w:basedOn w:val="Normal"/>
    <w:next w:val="Normal"/>
    <w:autoRedefine/>
    <w:uiPriority w:val="39"/>
    <w:unhideWhenUsed/>
    <w:rsid w:val="00194D9C"/>
    <w:pPr>
      <w:spacing w:after="100"/>
      <w:ind w:left="220"/>
    </w:pPr>
  </w:style>
  <w:style w:type="paragraph" w:styleId="TDC3">
    <w:name w:val="toc 3"/>
    <w:basedOn w:val="Normal"/>
    <w:next w:val="Normal"/>
    <w:autoRedefine/>
    <w:uiPriority w:val="39"/>
    <w:unhideWhenUsed/>
    <w:rsid w:val="00194D9C"/>
    <w:pPr>
      <w:spacing w:after="100"/>
      <w:ind w:left="440"/>
    </w:pPr>
  </w:style>
  <w:style w:type="character" w:styleId="Hipervnculo">
    <w:name w:val="Hyperlink"/>
    <w:basedOn w:val="Fuentedeprrafopredeter"/>
    <w:uiPriority w:val="99"/>
    <w:unhideWhenUsed/>
    <w:rsid w:val="00194D9C"/>
    <w:rPr>
      <w:color w:val="0563C1" w:themeColor="hyperlink"/>
      <w:u w:val="single"/>
    </w:rPr>
  </w:style>
  <w:style w:type="paragraph" w:styleId="DiccionarioT1" w:customStyle="true">
    <w:name w:val="DiccionarioT1"/>
    <w:basedOn w:val="Ttulo1"/>
    <w:next w:val="Normal"/>
    <w:link w:val="DiccionarioT1Car"/>
    <w:qFormat/>
    <w:rsid w:val="008D5289"/>
  </w:style>
  <w:style w:type="character" w:styleId="DiccionarioT1Car" w:customStyle="true">
    <w:name w:val="DiccionarioT1 Car"/>
    <w:basedOn w:val="Ttulo1Car"/>
    <w:link w:val="DiccionarioT1"/>
    <w:rsid w:val="008D5289"/>
    <w:rPr>
      <w:rFonts w:asciiTheme="majorHAnsi" w:hAnsiTheme="majorHAnsi" w:eastAsiaTheme="majorEastAsia" w:cstheme="majorBidi"/>
      <w:color w:val="2F5496" w:themeColor="accent1" w:themeShade="BF"/>
      <w:sz w:val="32"/>
      <w:szCs w:val="32"/>
    </w:rPr>
  </w:style>
  <w:style w:type="paragraph" w:styleId="DiccionarioT2" w:customStyle="true">
    <w:name w:val="DiccionarioT2"/>
    <w:basedOn w:val="Ttulo2"/>
    <w:next w:val="Normal"/>
    <w:link w:val="DiccionarioT2Car"/>
    <w:qFormat/>
    <w:rsid w:val="00497EB0"/>
    <w:rPr>
      <w:b/>
      <w:bCs/>
    </w:rPr>
  </w:style>
  <w:style w:type="paragraph" w:styleId="DiccionarioT3" w:customStyle="true">
    <w:name w:val="DiccionarioT3"/>
    <w:basedOn w:val="Ttulo3"/>
    <w:next w:val="Normal"/>
    <w:link w:val="DiccionarioT3Car"/>
    <w:qFormat/>
    <w:rsid w:val="00497EB0"/>
  </w:style>
  <w:style w:type="character" w:styleId="DiccionarioT2Car" w:customStyle="true">
    <w:name w:val="DiccionarioT2 Car"/>
    <w:basedOn w:val="Ttulo2Car"/>
    <w:link w:val="DiccionarioT2"/>
    <w:rsid w:val="00497EB0"/>
    <w:rPr>
      <w:rFonts w:asciiTheme="majorHAnsi" w:hAnsiTheme="majorHAnsi" w:eastAsiaTheme="majorEastAsia" w:cstheme="majorBidi"/>
      <w:b/>
      <w:bCs/>
      <w:color w:val="2F5496" w:themeColor="accent1" w:themeShade="BF"/>
      <w:sz w:val="26"/>
      <w:szCs w:val="26"/>
    </w:rPr>
  </w:style>
  <w:style w:type="paragraph" w:styleId="DiccionarioT4" w:customStyle="true">
    <w:name w:val="DiccionarioT4"/>
    <w:basedOn w:val="Ttulo4"/>
    <w:next w:val="Normal"/>
    <w:link w:val="DiccionarioT4Car"/>
    <w:qFormat/>
    <w:rsid w:val="00497EB0"/>
  </w:style>
  <w:style w:type="character" w:styleId="DiccionarioT3Car" w:customStyle="true">
    <w:name w:val="DiccionarioT3 Car"/>
    <w:basedOn w:val="Ttulo3Car"/>
    <w:link w:val="DiccionarioT3"/>
    <w:rsid w:val="00497EB0"/>
    <w:rPr>
      <w:rFonts w:asciiTheme="majorHAnsi" w:hAnsiTheme="majorHAnsi" w:eastAsiaTheme="majorEastAsia" w:cstheme="majorBidi"/>
      <w:color w:val="1F3763" w:themeColor="accent1" w:themeShade="7F"/>
      <w:sz w:val="24"/>
      <w:szCs w:val="24"/>
    </w:rPr>
  </w:style>
  <w:style w:type="character" w:styleId="DiccionarioT4Car" w:customStyle="true">
    <w:name w:val="DiccionarioT4 Car"/>
    <w:basedOn w:val="Ttulo4Car"/>
    <w:link w:val="DiccionarioT4"/>
    <w:rsid w:val="00497EB0"/>
    <w:rPr>
      <w:rFonts w:asciiTheme="majorHAnsi" w:hAnsiTheme="majorHAnsi" w:eastAsiaTheme="majorEastAsia" w:cstheme="majorBidi"/>
      <w:i/>
      <w:iCs/>
      <w:color w:val="2F5496" w:themeColor="accent1" w:themeShade="BF"/>
    </w:rPr>
  </w:style>
  <w:style w:type="paragraph" w:styleId="TOC4">
    <w:name w:val="toc 4"/>
    <w:basedOn w:val="Normal"/>
    <w:next w:val="Normal"/>
    <w:autoRedefine/>
    <w:uiPriority w:val="39"/>
    <w:unhideWhenUsed/>
    <w:pPr>
      <w:spacing w:after="100"/>
      <w:ind w:left="660"/>
    </w:pPr>
  </w:style>
  <w:style w:type="paragraph" w:styleId="TOC5">
    <w:name w:val="toc 5"/>
    <w:basedOn w:val="Normal"/>
    <w:next w:val="Normal"/>
    <w:autoRedefine/>
    <w:uiPriority w:val="39"/>
    <w:unhideWhenUsed/>
    <w:pPr>
      <w:spacing w:after="100"/>
      <w:ind w:left="880"/>
    </w:pPr>
  </w:style>
  <w:style w:type="paragraph" w:styleId="TOC6">
    <w:name w:val="toc 6"/>
    <w:basedOn w:val="Normal"/>
    <w:next w:val="Normal"/>
    <w:autoRedefine/>
    <w:uiPriority w:val="39"/>
    <w:unhideWhenUsed/>
    <w:pPr>
      <w:spacing w:after="100"/>
      <w:ind w:left="1100"/>
    </w:pPr>
  </w:style>
  <w:style w:type="paragraph" w:styleId="TOC7">
    <w:name w:val="toc 7"/>
    <w:basedOn w:val="Normal"/>
    <w:next w:val="Normal"/>
    <w:autoRedefine/>
    <w:uiPriority w:val="39"/>
    <w:unhideWhenUsed/>
    <w:pPr>
      <w:spacing w:after="100"/>
      <w:ind w:left="1320"/>
    </w:pPr>
  </w:style>
  <w:style w:type="paragraph" w:styleId="TOC8">
    <w:name w:val="toc 8"/>
    <w:basedOn w:val="Normal"/>
    <w:next w:val="Normal"/>
    <w:autoRedefine/>
    <w:uiPriority w:val="39"/>
    <w:unhideWhenUsed/>
    <w:pPr>
      <w:spacing w:after="100"/>
      <w:ind w:left="1540"/>
    </w:pPr>
  </w:style>
  <w:style w:type="paragraph" w:styleId="TOC9">
    <w:name w:val="toc 9"/>
    <w:basedOn w:val="Normal"/>
    <w:next w:val="Normal"/>
    <w:autoRedefine/>
    <w:uiPriority w:val="39"/>
    <w:unhideWhenUsed/>
    <w:pPr>
      <w:spacing w:after="100"/>
      <w:ind w:left="1760"/>
    </w:pPr>
  </w:style>
  <w:style w:type="character" w:styleId="Hyperlink">
    <w:name w:val="Hyperlink"/>
    <w:uiPriority w:val="99"/>
    <w:unhideWhenUsed/>
    <w:rPr>
      <w:color w:val="0000FF" w:themeColor="hyperlink"/>
      <w:u w:val="single"/>
    </w:r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optimizeForBrowser/>
  <w:relyOnVML/>
  <w:allowPNG/>
</w:webSettings>
</file>

<file path=word/_rels/document.xml.rels><?xml version="1.0" encoding="UTF-8" standalone="yes"?>
<Relationships xmlns="http://schemas.openxmlformats.org/package/2006/relationships">
    <Relationship Target="header2.xml" Type="http://schemas.openxmlformats.org/officeDocument/2006/relationships/header" Id="rId8"/>
    <Relationship Target="fontTable.xml" Type="http://schemas.openxmlformats.org/officeDocument/2006/relationships/fontTable" Id="rId13"/>
    <Relationship Target="settings.xml" Type="http://schemas.openxmlformats.org/officeDocument/2006/relationships/settings" Id="rId3"/>
    <Relationship Target="header1.xml" Type="http://schemas.openxmlformats.org/officeDocument/2006/relationships/header" Id="rId7"/>
    <Relationship Target="footer3.xml" Type="http://schemas.openxmlformats.org/officeDocument/2006/relationships/footer" Id="rId12"/>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header3.xml" Type="http://schemas.openxmlformats.org/officeDocument/2006/relationships/header" Id="rId11"/>
    <Relationship Target="footnotes.xml" Type="http://schemas.openxmlformats.org/officeDocument/2006/relationships/footnotes" Id="rId5"/>
    <Relationship Target="footer2.xml" Type="http://schemas.openxmlformats.org/officeDocument/2006/relationships/footer" Id="rId10"/>
    <Relationship Target="webSettings.xml" Type="http://schemas.openxmlformats.org/officeDocument/2006/relationships/webSettings" Id="rId4"/>
    <Relationship Target="footer1.xml" Type="http://schemas.openxmlformats.org/officeDocument/2006/relationships/footer" Id="rId9"/>
    <Relationship Target="theme/theme1.xml" Type="http://schemas.openxmlformats.org/officeDocument/2006/relationships/theme" Id="rId14"/>
    <Relationship Target="numbering.xml" Type="http://schemas.openxmlformats.org/officeDocument/2006/relationships/numbering" Id="rId15"/>
</Relationships>

</file>

<file path=word/_rels/header2.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3789612-98FF-4340-8A4E-94E7BC07F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55</Words>
  <Characters>308</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Darío Veledo</cp:lastModifiedBy>
  <cp:revision>18</cp:revision>
  <dcterms:created xsi:type="dcterms:W3CDTF">2020-05-20T10:44:00Z</dcterms:created>
  <dcterms:modified xsi:type="dcterms:W3CDTF">2024-04-30T08:39:00Z</dcterms:modified>
</cp:coreProperties>
</file>