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153391">
            <w:r>
              <w:rPr>
                <w:rStyle w:val="Hyperlink"/>
              </w:rPr>
              <w:t>Dimensiones - Clasificación Funcional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_Toc5153391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533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_Toc5153392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153391" w:id="1"/>
      <w:r>
        <w:t>Dimensiones - Clasificación Funcional</w:t>
      </w:r>
      <w:bookmarkEnd w:id="1"/>
    </w:p>
    <w:p>
      <w:pPr>
        <w:pStyle w:val="DiccionarioT2"/>
      </w:pPr>
      <w:bookmarkStart w:name="_Toc51533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clasificación funcional agrupa los créditos para gastos conforme a la finalidad que persigue dicho gasto. Indica la finalidad del gasto, para qué se gasta. Hay definidos 3 niveles diferentes de funcional. Un primer nivel es el grupo de función, el segundo la subfunción y el tercero el programa.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Algunos ejemplos de valores que puede tener esta dimensión son: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321M Dirección y Gestión Administrativa de Universidad</w:t>
      </w:r>
      <w:bookmarkStart w:name="_Toc123745791" w:id="0"/>
      <w:bookmarkEnd w:id="0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322C Educación Superior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466A Investigación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