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31711">
            <w:r>
              <w:rPr>
                <w:rStyle w:val="Hyperlink"/>
              </w:rPr>
              <w:t>Dimensiones - Clasificación Orgánica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_Toc231711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317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_Toc231712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31711" w:id="1"/>
      <w:r>
        <w:t>Dimensiones - Clasificación Orgánica</w:t>
      </w:r>
      <w:bookmarkEnd w:id="1"/>
    </w:p>
    <w:p>
      <w:pPr>
        <w:pStyle w:val="DiccionarioT2"/>
      </w:pPr>
      <w:bookmarkStart w:name="_Toc2317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entiende por clasificación orgánica la codificación que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r>
        <w:rPr>
          <w:rFonts w:ascii="Calibri" w:hAnsi="Calibri"/>
          <w:b w:val="false"/>
          <w:i w:val="false"/>
          <w:color w:val="000000"/>
          <w:sz w:val="22"/>
        </w:rPr>
        <w:t>agrupa los créditos según el centro que debe gestionarlos. Identifica quién gasta.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Hay definidos 5 niveles distintos de orgánicas, en función del número de dígitos que comprende, así, una orgánica de nivel 1 tendrá 2 dígitos, una de nivel 2 tendrá 4 dígitos, y así sucesivamente hasta una orgánica de nivel 5 que tendrá 10 dígitos informados.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Algunos ejemplos de valores descriptivos que puede tener esta dimensión son: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25.04.01 Cooperación para el Desarrollo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21.08.02 Plan Infraestructuras científico-tecnológicas - Afectado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