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920001">
            <w:r>
              <w:rPr>
                <w:rStyle w:val="Hyperlink"/>
              </w:rPr>
              <w:t>Dimensiones - Población Óptima (Máster)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_Toc3920001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9200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_Toc3920002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920001" w:id="1"/>
      <w:r>
        <w:t>Dimensiones - Población Óptima (Máster)</w:t>
      </w:r>
      <w:bookmarkEnd w:id="1"/>
    </w:p>
    <w:p>
      <w:pPr>
        <w:pStyle w:val="DiccionarioT2"/>
      </w:pPr>
      <w:bookmarkStart w:name="_Toc39200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 Población óptima para máster está referida al conjunto de los estudiantes objetivo que empiezan un máster y tienen que completar la totalidad de créditos. A esta población la identificaremos como el conjunto de estudiantes que: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El número de créditos reconocidos (tanto totales como en el curso) debe ser menor que 10.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Créditos Superados ≤ Número de créditos Presentados ≤ Número de Créditos Matriculados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Créditos Matriculados &gt; 0.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El estudiante no puede constar como egresado en la titulación en ningún curso anterior (especialidades).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 el año académico en el que acceden al máster los créditos matriculados, superados y presentados en el curso académico deben coincidir con los créditos matriculados, superados y presentados desde el inicio de la titulación (Campos "CreditosMatInicio"; "CreditosSupInicio" y "CreditosPreInicio" de SIIU) respectivamente.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Un estudiante contabiliza tantas veces como titulaciones haya matriculado.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