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7624951">
            <w:r>
              <w:rPr>
                <w:rStyle w:val="Hyperlink"/>
              </w:rPr>
              <w:t>Dimensiones - Créditos</w:t>
            </w:r>
            <w:r>
              <w:rPr>
                <w:noProof/>
                <w:webHidden/>
              </w:rPr>
              <w:tab/>
            </w:r>
            <w:r>
              <w:rPr>
                <w:noProof/>
                <w:webHidden/>
              </w:rPr>
              <w:fldChar w:fldCharType="begin"/>
            </w:r>
            <w:r>
              <w:rPr>
                <w:noProof/>
                <w:webHidden/>
              </w:rPr>
              <w:instrText xml:space="preserve">PAGEREF _Toc7624951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624952">
            <w:r>
              <w:rPr>
                <w:rStyle w:val="Hyperlink"/>
              </w:rPr>
              <w:t>Descripción</w:t>
            </w:r>
            <w:r>
              <w:rPr>
                <w:noProof/>
                <w:webHidden/>
              </w:rPr>
              <w:tab/>
            </w:r>
            <w:r>
              <w:rPr>
                <w:noProof/>
                <w:webHidden/>
              </w:rPr>
              <w:fldChar w:fldCharType="begin"/>
            </w:r>
            <w:r>
              <w:rPr>
                <w:noProof/>
                <w:webHidden/>
              </w:rPr>
              <w:instrText xml:space="preserve">PAGEREF _Toc7624952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624953">
            <w:r>
              <w:rPr>
                <w:rStyle w:val="Hyperlink"/>
              </w:rPr>
              <w:t>Artículos relacionados</w:t>
            </w:r>
            <w:r>
              <w:rPr>
                <w:noProof/>
                <w:webHidden/>
              </w:rPr>
              <w:tab/>
            </w:r>
            <w:r>
              <w:rPr>
                <w:noProof/>
                <w:webHidden/>
              </w:rPr>
              <w:fldChar w:fldCharType="begin"/>
            </w:r>
            <w:r>
              <w:rPr>
                <w:noProof/>
                <w:webHidden/>
              </w:rPr>
              <w:instrText xml:space="preserve">PAGEREF _Toc7624953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7624951" w:id="1"/>
      <w:r>
        <w:t>Dimensiones - Créditos</w:t>
      </w:r>
      <w:bookmarkEnd w:id="1"/>
    </w:p>
    <w:p>
      <w:pPr>
        <w:pStyle w:val="DiccionarioT2"/>
      </w:pPr>
      <w:bookmarkStart w:name="_Toc7624952" w:id="2"/>
      <w:r>
        <w:t>Descripción</w:t>
      </w:r>
      <w:bookmarkEnd w:id="2"/>
    </w:p>
    <w:p>
      <w:pPr>
        <w:spacing w:before="269" w:after="269"/>
        <w:ind w:left="0"/>
        <w:jc w:val="left"/>
      </w:pPr>
      <w:r>
        <w:rPr>
          <w:rFonts w:ascii="Calibri" w:hAnsi="Calibri"/>
          <w:b w:val="false"/>
          <w:i w:val="false"/>
          <w:color w:val="000000"/>
          <w:sz w:val="22"/>
        </w:rPr>
        <w:t>El crédito es la unidad de valoración de las enseñanzas.</w:t>
      </w:r>
    </w:p>
    <w:p>
      <w:pPr>
        <w:spacing w:before="269" w:after="269"/>
        <w:ind w:left="0"/>
        <w:jc w:val="left"/>
      </w:pPr>
      <w:r>
        <w:rPr>
          <w:rFonts w:ascii="Calibri" w:hAnsi="Calibri"/>
          <w:b w:val="false"/>
          <w:i w:val="false"/>
          <w:color w:val="000000"/>
          <w:sz w:val="22"/>
        </w:rPr>
        <w:t>La característica más significativa del crédito ECTS (sistema europeo de transferencia de créditos) es que no valora únicamente las horas de clase sino el esfuerzo efectivo que se debe realizar para superar la asignatura (las horas de estudio, las dedicadas a la realización de seminarios, trabajos, prácticas o proyectos, y las exigidas para la preparación y realización de los exámenes y pruebas de evaluación).</w:t>
      </w:r>
    </w:p>
    <w:p>
      <w:pPr>
        <w:spacing w:before="269" w:after="269"/>
        <w:ind w:left="0"/>
        <w:jc w:val="left"/>
      </w:pPr>
      <w:r>
        <w:rPr>
          <w:rFonts w:ascii="Calibri" w:hAnsi="Calibri"/>
          <w:b w:val="false"/>
          <w:i w:val="false"/>
          <w:color w:val="000000"/>
          <w:sz w:val="22"/>
        </w:rPr>
        <w:t>Un crédito ECTS equivale a 25 – 30 horas de formación del alumno.</w:t>
      </w:r>
    </w:p>
    <w:p>
      <w:pPr>
        <w:pStyle w:val="DiccionarioT2"/>
      </w:pPr>
      <w:bookmarkStart w:name="_Toc7624953" w:id="3"/>
      <w:r>
        <w:t>Artículos relacionados</w:t>
      </w:r>
      <w:bookmarkEnd w:id="3"/>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10/08/2026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