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914211">
            <w:r>
              <w:rPr>
                <w:rStyle w:val="Hyperlink"/>
              </w:rPr>
              <w:t>Dimensiones - Duración de los estudios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_Toc3914211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142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_Toc3914212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914211" w:id="1"/>
      <w:r>
        <w:t>Dimensiones - Duración de los estudios</w:t>
      </w:r>
      <w:bookmarkEnd w:id="1"/>
    </w:p>
    <w:p>
      <w:pPr>
        <w:pStyle w:val="DiccionarioT2"/>
      </w:pPr>
      <w:bookmarkStart w:name="_Toc39142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Duración teórica de los estudios según el número de créditos necesarios que deben superarse para la obtención del título.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titulaciones de grado de 240 créditos se considerará una duración de cuatro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titulaciones de grado entre 241 y 300 créditos se considerará una duración de cinco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titulaciones de grado entre +300 y 360 créditos se considerará una duración de seis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programaciones conjuntas de grado entre 241 y 300 créditos se considerará una duración de cinco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programaciones conjuntas de grado con más de 300 créditos se considerará una duración de seis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titulaciones de máster de 60 créditos se considerará una duración de un año.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titulaciones de máster entre 60 y 120 créditos se considerará una duración de dos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Titulaciones especiales de máster, como las programaciones conjuntas con más de 120 créditos se considerarán una duración de tres años.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