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610721">
            <w:r>
              <w:rPr>
                <w:rStyle w:val="Hyperlink"/>
              </w:rPr>
              <w:t>Dimensiones - Fecha de nacimiento del profesor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_Toc7610721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107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_Toc7610722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1072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_Toc7610723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610721" w:id="1"/>
      <w:r>
        <w:t>Dimensiones - Fecha de nacimiento del profesor</w:t>
      </w:r>
      <w:bookmarkEnd w:id="1"/>
    </w:p>
    <w:p>
      <w:pPr>
        <w:pStyle w:val="DiccionarioT2"/>
      </w:pPr>
      <w:bookmarkStart w:name="_Toc76107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Fecha de nacimiento del profesor.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Edad: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edad del profesor calculada a 31 de diciembre del año natural.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Rango de edad: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rango de edad del profesor según los intervalos de edad considerados. Se analizarán los profesores agrupados por los siguientes tramos de edad establecidos en el SIIU del MECD: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Menor de 30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30 a 34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35 a 39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40 a 49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50 a 69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60 a 64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65 a 66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67 años o más</w:t>
      </w:r>
    </w:p>
    <w:p>
      <w:pPr>
        <w:pStyle w:val="DiccionarioT2"/>
      </w:pPr>
      <w:bookmarkStart w:name="_Toc761072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12/09/2026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