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141861">
            <w:r>
              <w:rPr>
                <w:rStyle w:val="Hyperlink"/>
              </w:rPr>
              <w:t>Dimensiones - Extranjero (según residencial habitual)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_Toc4141861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1418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_Toc4141862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14186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_Toc4141863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141861" w:id="1"/>
      <w:r>
        <w:t>Dimensiones - Extranjero (según residencial habitual)</w:t>
      </w:r>
      <w:bookmarkEnd w:id="1"/>
    </w:p>
    <w:p>
      <w:pPr>
        <w:pStyle w:val="DiccionarioT2"/>
      </w:pPr>
      <w:bookmarkStart w:name="_Toc41418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tendrá en consideración si el país de residencia habitual no es España o sí.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Este criterio es el que utiliza el SIIU.</w:t>
      </w:r>
    </w:p>
    <w:p>
      <w:pPr>
        <w:pStyle w:val="DiccionarioT2"/>
      </w:pPr>
      <w:bookmarkStart w:name="_Toc414186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