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8593191">
            <w:r>
              <w:rPr>
                <w:rStyle w:val="Hyperlink"/>
              </w:rPr>
              <w:t>Dimensiones - Residencia del estudiante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_Toc8593191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59319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_Toc8593192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8593191" w:id="1"/>
      <w:r>
        <w:t>Dimensiones - Residencia del estudiante</w:t>
      </w:r>
      <w:bookmarkEnd w:id="1"/>
    </w:p>
    <w:p>
      <w:pPr>
        <w:pStyle w:val="DiccionarioT2"/>
      </w:pPr>
      <w:bookmarkStart w:name="_Toc859319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Indica los datos de la residencia del alumno.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Atributos relacionados: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Código del país de residencia habitual MECD del estudiante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Código de país de residencia habitual del estudiante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País de residencia habitual del estudiante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Código de provincia del domicilio familiar de residencia habitual del estudiante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Provincia del domicilio familiar de residencia habitual del estudiante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Código del municipio del domicilio familiar de residencia habitual (MECD)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Código del municipio de residencia habitual durante el curso académico del estudiante (MECD)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Código postal del domicilio familiar de residencia habitual del estudiante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Código postal de residencia habitual durante el curso académico del estudiante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30/06/2026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