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545291">
            <w:r>
              <w:rPr>
                <w:rStyle w:val="Hyperlink"/>
              </w:rPr>
              <w:t>Dimensiones - Egresado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_Toc3545291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452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_Toc3545292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4529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_Toc3545293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545291" w:id="1"/>
      <w:r>
        <w:t>Dimensiones - Egresado SIIU</w:t>
      </w:r>
      <w:bookmarkEnd w:id="1"/>
    </w:p>
    <w:p>
      <w:pPr>
        <w:pStyle w:val="DiccionarioT2"/>
      </w:pPr>
      <w:bookmarkStart w:name="_Toc35452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será titulado si ha superado o reconocido (atendiendo al criterio de créditos reconocidos de SIIU) los créditos necesarios y suficientes para obtener el título, con independencia de haber abonado las tasas correspondientes o de estar a falta de algún requisito que pida la Universidad (ejemplo: acreditación de idiomas).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Año graduación (créditos):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indica en qué año académico el estudiante superó / reconoció todos los créditos necesarios y suficientes para obtener el título.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Duración de los estudios (créditos):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indica la duración en años desde que se matriculó por primera vez en el plan de estudios hasta que superó / reconoció todos los créditos necesarios y suficientes para obtener el título.</w:t>
      </w:r>
    </w:p>
    <w:p>
      <w:pPr>
        <w:pStyle w:val="DiccionarioT2"/>
      </w:pPr>
      <w:bookmarkStart w:name="_Toc354529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