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402141">
            <w:r>
              <w:rPr>
                <w:rStyle w:val="Hyperlink"/>
              </w:rPr>
              <w:t>Dimensiones - Egresado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_Toc1402141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4021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_Toc1402142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402141" w:id="1"/>
      <w:r>
        <w:t>Dimensiones - Egresado</w:t>
      </w:r>
      <w:bookmarkEnd w:id="1"/>
    </w:p>
    <w:p>
      <w:pPr>
        <w:pStyle w:val="DiccionarioT2"/>
      </w:pPr>
      <w:bookmarkStart w:name="_Toc14021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 estudiante será considerado/a egresado/a (graduado/a) cuando el estado del expediente esté cerrado y el estudiante se encuentre en disposición de solicitar el título (se haya alcanzado el hito “titulo”).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 xml:space="preserve">Año graduación: </w:t>
      </w:r>
      <w:r>
        <w:rPr>
          <w:rFonts w:ascii="Calibri" w:hAnsi="Calibri"/>
          <w:b w:val="false"/>
          <w:i w:val="false"/>
          <w:color w:val="000000"/>
          <w:sz w:val="22"/>
        </w:rPr>
        <w:t>Indica en qué año académico se graduó el estudiante.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Duración de los estudios: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Indica la duración en años desde que se matriculó por primera vez en el plan de estudios y se graduó.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