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770411">
            <w:r>
              <w:rPr>
                <w:rStyle w:val="Hyperlink"/>
              </w:rPr>
              <w:t>Dimensiones - Nota de admisión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_Toc5770411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7704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_Toc5770412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77041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_Toc5770413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770411" w:id="1"/>
      <w:r>
        <w:t>Dimensiones - Nota de admisión</w:t>
      </w:r>
      <w:bookmarkEnd w:id="1"/>
    </w:p>
    <w:p>
      <w:pPr>
        <w:pStyle w:val="DiccionarioT2"/>
      </w:pPr>
      <w:bookmarkStart w:name="_Toc57704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 nota de admisión (mínimo de 5 y máximo de 14) a las diferentes titulaciones de grado se calcula aplicando la siguiente fórmula:</w:t>
      </w:r>
    </w:p>
    <w:p>
      <w:pPr>
        <w:spacing w:before="269" w:after="269"/>
        <w:ind w:left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Nota de admisión = Nota de acceso + a*M1 + b*M2</w:t>
      </w:r>
      <w:r>
        <w:rPr>
          <w:rFonts w:ascii="Calibri" w:hAnsi="Calibri"/>
          <w:b w:val="false"/>
          <w:i w:val="false"/>
          <w:color w:val="000000"/>
          <w:sz w:val="22"/>
        </w:rPr>
        <w:t>, siendo: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M1, M2 = las calificaciones de un máximo de dos materias superadas de la fase específica que proporcionen mejor nota de admisión.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a, b = parámetros de ponderación de las materias de la fase específica.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Para que la nota de admisión incorpore las calificaciones de las materias de la fase específica, estas deben estar adscritas a la rama de conocimiento del Grado al que se quiera ser admitido.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 analizarán las notas de admisión según los siguientes tramos: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5 – 5,49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5,5 – 5,99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6 – 6,49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6,5 - 6,99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7 – 7,49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7,5 – 7,99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8 – 8,49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8,5 – 8,99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9 – 9,49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9,5 – 9,99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10 – 10,49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10,5 – 10,99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11 – 11,49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11,5 – 11,99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12 -12,49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12,5 -12,99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13 -13,49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13,5 - 14</w:t>
      </w:r>
    </w:p>
    <w:p>
      <w:pPr>
        <w:pStyle w:val="DiccionarioT2"/>
      </w:pPr>
      <w:bookmarkStart w:name="_Toc577041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03/08/2026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