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523101">
            <w:r>
              <w:rPr>
                <w:rStyle w:val="Hyperlink"/>
              </w:rPr>
              <w:t>Dimensiones - Forma de admisión (Máster)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_Toc7523101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523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_Toc7523102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523101" w:id="1"/>
      <w:r>
        <w:t>Dimensiones - Forma de admisión (Máster)</w:t>
      </w:r>
      <w:bookmarkEnd w:id="1"/>
    </w:p>
    <w:p>
      <w:pPr>
        <w:pStyle w:val="DiccionarioT2"/>
      </w:pPr>
      <w:bookmarkStart w:name="_Toc7523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la forma por la que el alumno/a ha sido admitido al Máster universitario.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Para Estudios de Máster, los valores son diferentes: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01 - Licenciatura, Ingeniería o Arquitectura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02 - Diplomatura, Ingeniería técnica o Arquitectura técnica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03 - Grado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04 - Máster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05 - Título Superior no Universitario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06 - Título extranjero de una institución de educación superior perteneciente a la UE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07 - Título extranjero de una institución de educación superior NO perteneciente a la UE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09 - No consta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