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18711">
            <w:r>
              <w:rPr>
                <w:rStyle w:val="Hyperlink"/>
              </w:rPr>
              <w:t>Dimensiones - Sexenio vivo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_Toc218711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87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_Toc218712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871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_Toc218713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18711" w:id="1"/>
      <w:r>
        <w:t>Dimensiones - Sexenio vivo</w:t>
      </w:r>
      <w:bookmarkEnd w:id="1"/>
    </w:p>
    <w:p>
      <w:pPr>
        <w:pStyle w:val="DiccionarioT2"/>
      </w:pPr>
      <w:bookmarkStart w:name="_Toc2187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Toma los valores “Sí” o “No”. Es el obtenido en los últimos 6 años, es decir, si hace más de 6 años que consiguió el último sexenio, entonces su valor es “No”, en caso contrario será “Sí”.</w:t>
      </w:r>
    </w:p>
    <w:p>
      <w:pPr>
        <w:pStyle w:val="DiccionarioT2"/>
      </w:pPr>
      <w:bookmarkStart w:name="_Toc21871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