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672061">
            <w:r>
              <w:rPr>
                <w:rStyle w:val="Hyperlink"/>
              </w:rPr>
              <w:t>Dimensiones - Rama de enseñanza por titulación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_Toc7672061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6720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_Toc7672062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67206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_Toc7672063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672061" w:id="1"/>
      <w:r>
        <w:t>Dimensiones - Rama de enseñanza por titulación</w:t>
      </w:r>
      <w:bookmarkEnd w:id="1"/>
    </w:p>
    <w:p>
      <w:pPr>
        <w:pStyle w:val="DiccionarioT2"/>
      </w:pPr>
      <w:bookmarkStart w:name="_Toc76720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Muestra las ramas de enseñanza como agrupaciones de las titulaciones que se ofertan.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Tiene los siguientes valores posibles: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1 - Artes y Humanidades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2 - Ciencias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3 - Ciencias Sociales y Jurídicas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4 - Ingeniería y Arquitectura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5 - Ciencias de la Salud</w:t>
      </w:r>
    </w:p>
    <w:p>
      <w:pPr>
        <w:pStyle w:val="DiccionarioT2"/>
      </w:pPr>
      <w:bookmarkStart w:name="_Toc767206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18/08/2026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