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522491">
            <w:r>
              <w:rPr>
                <w:rStyle w:val="Hyperlink"/>
              </w:rPr>
              <w:t>Dimensiones - Rama de enseñanza por área de conocimiento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_Toc2522491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224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_Toc2522492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2249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_Toc2522493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522491" w:id="1"/>
      <w:r>
        <w:t>Dimensiones - Rama de enseñanza por área de conocimiento</w:t>
      </w:r>
      <w:bookmarkEnd w:id="1"/>
    </w:p>
    <w:p>
      <w:pPr>
        <w:pStyle w:val="DiccionarioT2"/>
      </w:pPr>
      <w:bookmarkStart w:name="_Toc25224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Muestra las ramas de enseñanza como agrupaciones de las áreas de conocimiento en las que desarrolla su actividad cada PDI o PEI.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asignación de áreas de conocimiento a ramas de enseñanza después del RD415/2015, se encuentra recogida en el Sistema Integrado de Información Universitaria (SIIU) del MECD.</w:t>
      </w:r>
    </w:p>
    <w:p>
      <w:pPr>
        <w:pStyle w:val="DiccionarioT2"/>
      </w:pPr>
      <w:bookmarkStart w:name="_Toc252249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