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81591">
            <w:r>
              <w:rPr>
                <w:rStyle w:val="Hyperlink"/>
              </w:rPr>
              <w:t>Indicador - Tasa de abandono tras 3er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_Toc7281591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81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_Toc7281592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815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_Toc7281593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81591" w:id="1"/>
      <w:r>
        <w:t>Indicador - Tasa de abandono tras 3er año</w:t>
      </w:r>
      <w:bookmarkEnd w:id="1"/>
    </w:p>
    <w:p>
      <w:pPr>
        <w:pStyle w:val="DiccionarioT2"/>
      </w:pPr>
      <w:bookmarkStart w:name="_Toc7281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 que sigue matriculado en el mismo estudio en X+1 y X+2 y NO matriculados en ese estudio en X+3 ni X+4  / Doctorandos de nuevo ingreso en X</w:t>
      </w:r>
    </w:p>
    <w:p>
      <w:pPr>
        <w:pStyle w:val="DiccionarioT2"/>
      </w:pPr>
      <w:bookmarkStart w:name="_Toc72815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que sigue matriculado en el mismo estudio en X+1 y X+2 y no matriculados en ese estudio en X+3 ni X+4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X.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