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910581">
            <w:r>
              <w:rPr>
                <w:rStyle w:val="Hyperlink"/>
              </w:rPr>
              <w:t>Indicador - Tasa de abandono tras 2do año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_Toc4910581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9105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_Toc4910582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9105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_Toc4910583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910581" w:id="1"/>
      <w:r>
        <w:t>Indicador - Tasa de abandono tras 2do año</w:t>
      </w:r>
      <w:bookmarkEnd w:id="1"/>
    </w:p>
    <w:p>
      <w:pPr>
        <w:pStyle w:val="DiccionarioT2"/>
      </w:pPr>
      <w:bookmarkStart w:name="_Toc49105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Doctorandos de nuevo ingreso en X, que sigue matriculado en el mismo estudio en X+1 y NO matriculados en ese estudio en X+2 ni X+3  /  Doctorandos de nuevo ingreso en X</w:t>
      </w:r>
    </w:p>
    <w:p>
      <w:pPr>
        <w:pStyle w:val="DiccionarioT2"/>
      </w:pPr>
      <w:bookmarkStart w:name="_Toc49105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Numerador: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que sigue matriculado en el mismo estudio en X+1 y no matriculados en ese estudio en X+2 ni X+3.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Denominador: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514" Type="http://schemas.openxmlformats.org/officeDocument/2006/relationships/hyperlink" Id="rId16"/>
    <Relationship TargetMode="External" Target="https://datos.uah.es/portal-bi/dictionary/PreviewConcept.action?conceptCode=1051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