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67481">
            <w:r>
              <w:rPr>
                <w:rStyle w:val="Hyperlink"/>
              </w:rPr>
              <w:t>Indicador - Tasa de abandono tras 1er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_Toc5367481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67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_Toc5367482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674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_Toc5367483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674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_Toc5367484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67481" w:id="1"/>
      <w:r>
        <w:t>Indicador - Tasa de abandono tras 1er año</w:t>
      </w:r>
      <w:bookmarkEnd w:id="1"/>
    </w:p>
    <w:p>
      <w:pPr>
        <w:pStyle w:val="DiccionarioT2"/>
      </w:pPr>
      <w:bookmarkStart w:name="_Toc5367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 y NO matriculados en ese estudio universitario en X+1 ni  en X+2  /  Doctorandos de nuevo ingreso en X</w:t>
      </w:r>
    </w:p>
    <w:p>
      <w:pPr>
        <w:pStyle w:val="DiccionarioT2"/>
      </w:pPr>
      <w:bookmarkStart w:name="_Toc53674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p>
      <w:pPr>
        <w:pStyle w:val="DiccionarioT2"/>
      </w:pPr>
      <w:bookmarkStart w:name="_Toc53674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