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4789721">
            <w:r>
              <w:rPr>
                <w:rStyle w:val="Hyperlink"/>
              </w:rPr>
              <w:t>Indicador - Tasa de abandono tras 1er año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_Toc4789721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7897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_Toc4789722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78972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_Toc4789723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4789721" w:id="1"/>
      <w:r>
        <w:t>Indicador - Tasa de abandono tras 1er año</w:t>
      </w:r>
      <w:bookmarkEnd w:id="1"/>
    </w:p>
    <w:p>
      <w:pPr>
        <w:pStyle w:val="DiccionarioT2"/>
      </w:pPr>
      <w:bookmarkStart w:name="_Toc47897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Doctorandos de nuevo ingreso en X y NO matriculados en ese estudio universitario en X+1 ni  en X+2  /  Doctorandos de nuevo ingreso en X</w:t>
      </w:r>
    </w:p>
    <w:p>
      <w:pPr>
        <w:pStyle w:val="DiccionarioT2"/>
      </w:pPr>
      <w:bookmarkStart w:name="_Toc478972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Doctorandos de nuevo ingreso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 xml:space="preserve"> y no matriculados en ese estudio en X+1 ni X+2.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Doctorandos de nuevo ingreso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18/07/2026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10514" Type="http://schemas.openxmlformats.org/officeDocument/2006/relationships/hyperlink" Id="rId16"/>
    <Relationship TargetMode="External" Target="https://datos.uah.es/portal-bi/dictionary/PreviewConcept.action?conceptCode=10514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