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59811">
            <w:r>
              <w:rPr>
                <w:rStyle w:val="Hyperlink"/>
              </w:rPr>
              <w:t>Indicador - Porcentaje de tesis en cotutela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_Toc7459811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59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_Toc7459812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59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_Toc7459813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59811" w:id="1"/>
      <w:r>
        <w:t>Indicador - Porcentaje de tesis en cotutela</w:t>
      </w:r>
      <w:bookmarkEnd w:id="1"/>
    </w:p>
    <w:p>
      <w:pPr>
        <w:pStyle w:val="DiccionarioT2"/>
      </w:pPr>
      <w:bookmarkStart w:name="_Toc7459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se han realizado en cotutela.</w:t>
      </w:r>
    </w:p>
    <w:p>
      <w:pPr>
        <w:pStyle w:val="DiccionarioT2"/>
      </w:pPr>
      <w:bookmarkStart w:name="_Toc7459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 102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DATINI, DATFIN, CNVCOT, INSCOT, NOMDIR estén informados.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numPr>
          <w:ilvl w:val="0"/>
          <w:numId w:val="3"/>
        </w:numPr>
        <w:spacing w:before="0" w:after="0"/>
        <w:jc w:val="left"/>
      </w:pP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