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424161">
            <w:r>
              <w:rPr>
                <w:rStyle w:val="Hyperlink"/>
              </w:rPr>
              <w:t>Indicador - Porcentaje de tesis con mención industrial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_Toc1424161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241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_Toc1424162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241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_Toc1424163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241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_Toc1424164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424161" w:id="1"/>
      <w:r>
        <w:t>Indicador - Porcentaje de tesis con mención industrial</w:t>
      </w:r>
      <w:bookmarkEnd w:id="1"/>
    </w:p>
    <w:p>
      <w:pPr>
        <w:pStyle w:val="DiccionarioT2"/>
      </w:pPr>
      <w:bookmarkStart w:name="_Toc14241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tesis leídas que han tenido mención industrial</w:t>
      </w:r>
    </w:p>
    <w:p>
      <w:pPr>
        <w:pStyle w:val="DiccionarioT2"/>
      </w:pPr>
      <w:bookmarkStart w:name="_Toc14241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ámbito = 101.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valor de los conceptos DATINI y DATFIN estén informados.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calificación de la tesis esté informado.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4241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50" Type="http://schemas.openxmlformats.org/officeDocument/2006/relationships/hyperlink" Id="rId16"/>
    <Relationship TargetMode="External" Target="PreviewConcept.action?conceptCode=1055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