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018691">
            <w:r>
              <w:rPr>
                <w:rStyle w:val="Hyperlink"/>
              </w:rPr>
              <w:t>Indicador - Numerador tasa de graduación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_Toc1018691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186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_Toc1018692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186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_Toc1018693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018691" w:id="1"/>
      <w:r>
        <w:t>Indicador - Numerador tasa de graduación</w:t>
      </w:r>
      <w:bookmarkEnd w:id="1"/>
    </w:p>
    <w:p>
      <w:pPr>
        <w:pStyle w:val="DiccionarioT2"/>
      </w:pPr>
      <w:bookmarkStart w:name="_Toc10186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estudiantes de nuevo ingreso de la cohorte de inicio que han tardado 4 cursos en tiempo completo o 6 cursos en tiempo parcial</w:t>
      </w:r>
    </w:p>
    <w:p>
      <w:pPr>
        <w:pStyle w:val="DiccionarioT2"/>
      </w:pPr>
      <w:bookmarkStart w:name="_Toc10186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 y el número de meses entre la fecha de lectura de la tesis y la fecha de la primera matrícula es menor o igual a 48 (4 años) si la modalidad de matrícula es TC o 72 (6 años) si la modalidad es TP teniendo en cuenta el tiempo de las prórrogas.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