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005611">
            <w:r>
              <w:rPr>
                <w:rStyle w:val="Hyperlink"/>
              </w:rPr>
              <w:t>Indicador - Tasa de graduación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_Toc7005611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056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_Toc7005612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056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_Toc7005613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056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_Toc7005614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005611" w:id="1"/>
      <w:r>
        <w:t>Indicador - Tasa de graduación</w:t>
      </w:r>
      <w:bookmarkEnd w:id="1"/>
    </w:p>
    <w:p>
      <w:pPr>
        <w:pStyle w:val="DiccionarioT2"/>
      </w:pPr>
      <w:bookmarkStart w:name="_Toc70056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doctorandos de una cohorte de nuevo ingreso que finalizan la titulación en el tiempo teórico previsto o más un curso.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 cursos en tiempo completo o 6 cursos en tiempo parcial (Se contemplarán las prórrogas legales solicitadas a lo largo de los estudios de Doctorado)</w:t>
      </w:r>
    </w:p>
    <w:p>
      <w:pPr>
        <w:pStyle w:val="DiccionarioT2"/>
      </w:pPr>
      <w:bookmarkStart w:name="_Toc70056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 graduación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X.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graduación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X.</w:t>
        </w:r>
      </w:hyperlink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se están teniendo en cuenta,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0056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47" Type="http://schemas.openxmlformats.org/officeDocument/2006/relationships/hyperlink" Id="rId16"/>
    <Relationship TargetMode="External" Target="PreviewConcept.action?conceptCode=10514" Type="http://schemas.openxmlformats.org/officeDocument/2006/relationships/hyperlink" Id="rId17"/>
    <Relationship TargetMode="External" Target="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