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344821">
            <w:r>
              <w:rPr>
                <w:rStyle w:val="Hyperlink"/>
              </w:rPr>
              <w:t>Indicador - Tasa de idoneidad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_Toc1344821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48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_Toc1344822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3448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_Toc1344823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344821" w:id="1"/>
      <w:r>
        <w:t>Indicador - Tasa de idoneidad</w:t>
      </w:r>
      <w:bookmarkEnd w:id="1"/>
    </w:p>
    <w:p>
      <w:pPr>
        <w:pStyle w:val="DiccionarioT2"/>
      </w:pPr>
      <w:bookmarkStart w:name="_Toc13448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 de nuevo ingreso de la cohorte de inicio que han tardado 3 cursos en tiempo completo o 5 cursos en tiempo parcial.</w:t>
      </w:r>
    </w:p>
    <w:p>
      <w:pPr>
        <w:pStyle w:val="DiccionarioT2"/>
      </w:pPr>
      <w:bookmarkStart w:name="_Toc13448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 idoneidad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idoneidad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X.</w:t>
        </w:r>
      </w:hyperlink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están teniendo en cuenta en los sistemas cuyo origen son UXXI,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5" Type="http://schemas.openxmlformats.org/officeDocument/2006/relationships/hyperlink" Id="rId16"/>
    <Relationship TargetMode="External" Target="PreviewConcept.action?conceptCode=10514" Type="http://schemas.openxmlformats.org/officeDocument/2006/relationships/hyperlink" Id="rId17"/>
    <Relationship TargetMode="External" Target="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