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813041">
            <w:r>
              <w:rPr>
                <w:rStyle w:val="Hyperlink"/>
              </w:rPr>
              <w:t>Indicador - Nº de doctorandos que acceden con titulación de otra universidad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_Toc6813041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8130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_Toc6813042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81304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_Toc6813043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813041" w:id="1"/>
      <w:r>
        <w:t>Indicador - Nº de doctorandos que acceden con titulación de otra universidad</w:t>
      </w:r>
      <w:bookmarkEnd w:id="1"/>
    </w:p>
    <w:p>
      <w:pPr>
        <w:pStyle w:val="DiccionarioT2"/>
      </w:pPr>
      <w:bookmarkStart w:name="_Toc68130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 doctorandos que han accedido a través de un título de otra universidad. No se tendrá en cuenta el tiempo que lleve el doctorando en el programa de doctorado.</w:t>
      </w:r>
    </w:p>
    <w:p>
      <w:pPr>
        <w:pStyle w:val="DiccionarioT2"/>
      </w:pPr>
      <w:bookmarkStart w:name="_Toc681304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Conteo del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estudiantes matriculados en Doctorado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que cumplan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UAH: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acceso = 09 y subtipo de acceso = 47 (GRADO + MÁSTER)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Nombre de la universidad &lt;&gt; ALCALA o que sea NULL para el código del concepto=UNIVAR2.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40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