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644871">
            <w:r>
              <w:rPr>
                <w:rStyle w:val="Hyperlink"/>
              </w:rPr>
              <w:t>Indicador - Tasa de idoneidad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_Toc9644871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64487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_Toc9644872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64487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_Toc9644873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64487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_Toc9644874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644871" w:id="1"/>
      <w:r>
        <w:t>Indicador - Tasa de idoneidad</w:t>
      </w:r>
      <w:bookmarkEnd w:id="1"/>
    </w:p>
    <w:p>
      <w:pPr>
        <w:pStyle w:val="DiccionarioT2"/>
      </w:pPr>
      <w:bookmarkStart w:name="_Toc964487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Porcentaje de estudiantes de una cohorte de nuevo ingreso que finalizan la titulación en el tiempo teórico previsto en el plan de estudios o antes.</w:t>
      </w:r>
    </w:p>
    <w:p>
      <w:pPr>
        <w:pStyle w:val="DiccionarioT2"/>
      </w:pPr>
      <w:bookmarkStart w:name="_Toc964487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</w:t>
      </w:r>
      <w:r>
        <w:rPr>
          <w:rFonts w:ascii="Calibri" w:hAnsi="Calibri"/>
          <w:b w:val="false"/>
          <w:i w:val="false"/>
          <w:color w:val="000000"/>
          <w:sz w:val="22"/>
        </w:rPr>
        <w:t>: Estudiantes de una cohorte de nuevo ingreso que han superado o reconocido (atendiendo al criterio de créditos reconocidos de SIIU) los créditos necesarios y suficientes para obtener el título de Grado o Máster en el tiempo teórico previsto en el plan de estudios o antes.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</w:t>
      </w:r>
      <w:r>
        <w:rPr>
          <w:rFonts w:ascii="Calibri" w:hAnsi="Calibri"/>
          <w:b w:val="false"/>
          <w:i w:val="false"/>
          <w:color w:val="000000"/>
          <w:sz w:val="22"/>
        </w:rPr>
        <w:t>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estudiantes de nuevo ingreso</w:t>
        </w:r>
      </w:hyperlink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</w:t>
      </w:r>
      <w:r>
        <w:rPr>
          <w:rFonts w:ascii="Calibri" w:hAnsi="Calibri"/>
          <w:b w:val="false"/>
          <w:i/>
          <w:color w:val="000000"/>
          <w:sz w:val="22"/>
        </w:rPr>
        <w:t>Tasa de idoneidad</w:t>
      </w:r>
      <w:r>
        <w:rPr>
          <w:rFonts w:ascii="Calibri" w:hAnsi="Calibri"/>
          <w:b w:val="false"/>
          <w:i w:val="false"/>
          <w:color w:val="000000"/>
          <w:sz w:val="22"/>
        </w:rPr>
        <w:t>” cumple los siguientes criterios: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Para los estudios de Grado: 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Ópima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con dedicación a lo largo del estudio a tiempo completo.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Para los estudios de Máster: </w:t>
      </w:r>
      <w:hyperlink r:id="rId18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Óptima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que es tiempo completo el primer año.</w:t>
      </w:r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 </w:t>
      </w:r>
    </w:p>
    <w:p>
      <w:pPr>
        <w:pStyle w:val="DiccionarioT2"/>
      </w:pPr>
      <w:bookmarkStart w:name="_Toc964487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10/08/2026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3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486" Type="http://schemas.openxmlformats.org/officeDocument/2006/relationships/hyperlink" Id="rId16"/>
    <Relationship TargetMode="External" Target="PreviewConcept.action?conceptCode=10635" Type="http://schemas.openxmlformats.org/officeDocument/2006/relationships/hyperlink" Id="rId17"/>
    <Relationship TargetMode="External" Target="PreviewConcept.action?conceptCode=10636" Type="http://schemas.openxmlformats.org/officeDocument/2006/relationships/hyperlink" Id="rId18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