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87291">
            <w:r>
              <w:rPr>
                <w:rStyle w:val="Hyperlink"/>
              </w:rPr>
              <w:t>Indicador -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_Toc8287291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872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_Toc8287292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872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_Toc8287293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87291" w:id="1"/>
      <w:r>
        <w:t>Indicador - Tasa de idoneidad</w:t>
      </w:r>
      <w:bookmarkEnd w:id="1"/>
    </w:p>
    <w:p>
      <w:pPr>
        <w:pStyle w:val="DiccionarioT2"/>
      </w:pPr>
      <w:bookmarkStart w:name="_Toc82872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que finalizan la titulación en el tiempo teórico previsto en el plan de estudios o antes.</w:t>
      </w:r>
    </w:p>
    <w:p>
      <w:pPr>
        <w:pStyle w:val="DiccionarioT2"/>
      </w:pPr>
      <w:bookmarkStart w:name="_Toc82872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Estudiantes de una cohorte de nuevo ingreso que han superado o reconocido (atendiendo al criterio de créditos reconocidos de SIIU) los créditos necesarios y suficientes para obtener el título de Grado o Máster en el tiempo teórico previsto en el plan de estudios o antes.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de nuevo ingreso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los estudios de Grado: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con dedicación a lo largo del estudio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los estudios de Máster: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es tiempo completo el primer año.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8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