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95601">
            <w:r>
              <w:rPr>
                <w:rStyle w:val="Hyperlink"/>
              </w:rPr>
              <w:t>Indicador - Tasa de cambio de estudio tras el 3er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_Toc1695601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95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_Toc1695602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956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_Toc1695603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956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_Toc1695604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95601" w:id="1"/>
      <w:r>
        <w:t>Indicador - Tasa de cambio de estudio tras el 3er año</w:t>
      </w:r>
      <w:bookmarkEnd w:id="1"/>
    </w:p>
    <w:p>
      <w:pPr>
        <w:pStyle w:val="DiccionarioT2"/>
      </w:pPr>
      <w:bookmarkStart w:name="_Toc1695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r>
        <w:rPr>
          <w:rFonts w:ascii="Calibri" w:hAnsi="Calibri"/>
          <w:b w:val="false"/>
          <w:i w:val="false"/>
          <w:color w:val="000000"/>
          <w:sz w:val="22"/>
        </w:rPr>
        <w:t>estudiantes de una cohorte de nuevo ingreso en el curso X, matriculados en el título T en los cursos X+1 y X+2, que sin haberse graduado en ese título no se han matriculado en el curso X+3 ni en el curso X+4 y se han matriculado en el curso X+3 y/o X+4 en algún otro título universitario oficial.</w:t>
      </w:r>
    </w:p>
    <w:p>
      <w:pPr>
        <w:pStyle w:val="DiccionarioT2"/>
      </w:pPr>
      <w:bookmarkStart w:name="_Toc16956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Nº de estudiantes que han cambiado de estudio tras el 3er año.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 de la cohorte de ingreso de referencia.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cambio de estudio tras el 3er año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X+2.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X+4.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en los cursos X O X+1 O X+2 O X+3 O X+4 no han superado o reconocido (atendiendo al criterio de créditos reconocidos de SIIU) los créditos necesarios y suficientes para obtener el título de Grado o Máster.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Sí están matriculados en otra titulación distinta de “T” en el curso X+3 Y/O X+4.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16956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