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6208211">
            <w:r>
              <w:rPr>
                <w:rStyle w:val="Hyperlink"/>
              </w:rPr>
              <w:t>Indicador - Tasa de cambio de estudio tras el 1er año</w:t>
            </w:r>
            <w:r>
              <w:rPr>
                <w:noProof/>
                <w:webHidden/>
              </w:rPr>
              <w:tab/>
            </w:r>
            <w:r>
              <w:rPr>
                <w:noProof/>
                <w:webHidden/>
              </w:rPr>
              <w:fldChar w:fldCharType="begin"/>
            </w:r>
            <w:r>
              <w:rPr>
                <w:noProof/>
                <w:webHidden/>
              </w:rPr>
              <w:instrText xml:space="preserve">PAGEREF _Toc6208211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6208212">
            <w:r>
              <w:rPr>
                <w:rStyle w:val="Hyperlink"/>
              </w:rPr>
              <w:t>Descripción</w:t>
            </w:r>
            <w:r>
              <w:rPr>
                <w:noProof/>
                <w:webHidden/>
              </w:rPr>
              <w:tab/>
            </w:r>
            <w:r>
              <w:rPr>
                <w:noProof/>
                <w:webHidden/>
              </w:rPr>
              <w:fldChar w:fldCharType="begin"/>
            </w:r>
            <w:r>
              <w:rPr>
                <w:noProof/>
                <w:webHidden/>
              </w:rPr>
              <w:instrText xml:space="preserve">PAGEREF _Toc6208212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6208213">
            <w:r>
              <w:rPr>
                <w:rStyle w:val="Hyperlink"/>
              </w:rPr>
              <w:t>Forma de cálculo</w:t>
            </w:r>
            <w:r>
              <w:rPr>
                <w:noProof/>
                <w:webHidden/>
              </w:rPr>
              <w:tab/>
            </w:r>
            <w:r>
              <w:rPr>
                <w:noProof/>
                <w:webHidden/>
              </w:rPr>
              <w:fldChar w:fldCharType="begin"/>
            </w:r>
            <w:r>
              <w:rPr>
                <w:noProof/>
                <w:webHidden/>
              </w:rPr>
              <w:instrText xml:space="preserve">PAGEREF _Toc6208213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6208211" w:id="1"/>
      <w:r>
        <w:t>Indicador - Tasa de cambio de estudio tras el 1er año</w:t>
      </w:r>
      <w:bookmarkEnd w:id="1"/>
    </w:p>
    <w:p>
      <w:pPr>
        <w:pStyle w:val="DiccionarioT2"/>
      </w:pPr>
      <w:bookmarkStart w:name="_Toc6208212" w:id="2"/>
      <w:r>
        <w:t>Descripción</w:t>
      </w:r>
      <w:bookmarkEnd w:id="2"/>
    </w:p>
    <w:p>
      <w:pPr>
        <w:spacing w:before="269" w:after="269"/>
        <w:ind w:left="0"/>
        <w:jc w:val="left"/>
      </w:pPr>
      <w:r>
        <w:rPr>
          <w:rFonts w:ascii="Calibri" w:hAnsi="Calibri"/>
          <w:b w:val="false"/>
          <w:i w:val="false"/>
          <w:color w:val="000000"/>
          <w:sz w:val="22"/>
        </w:rPr>
        <w:t>Porcentaje de estudiantes de una cohorte de nuevo ingreso en el curso X, matriculados en el título T, que sin haberse graduado en ese título no se han matriculado en el curso X+1 ni en el curso X+2 en el título T y se ha matriculado en el curso X+1 y/o X+2 en algún otro título universitario oficial.</w:t>
      </w:r>
    </w:p>
    <w:p>
      <w:pPr>
        <w:pStyle w:val="DiccionarioT2"/>
      </w:pPr>
      <w:bookmarkStart w:name="_Toc620821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Nº de estudiantes que han cambiado de estudio tras el 1er año.</w:t>
      </w:r>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Nº de estudiantes de la cohorte de ingreso de referencia.</w:t>
      </w:r>
    </w:p>
    <w:p>
      <w:pPr>
        <w:numPr>
          <w:ilvl w:val="0"/>
          <w:numId w:val="1"/>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cambio de estudio tras el 1er año</w:t>
      </w:r>
      <w:r>
        <w:rPr>
          <w:rFonts w:ascii="Calibri" w:hAnsi="Calibri"/>
          <w:b w:val="false"/>
          <w:i w:val="false"/>
          <w:color w:val="000000"/>
          <w:sz w:val="22"/>
        </w:rPr>
        <w:t>” cumple los siguientes criterios:</w:t>
      </w:r>
    </w:p>
    <w:p>
      <w:pPr>
        <w:numPr>
          <w:ilvl w:val="1"/>
          <w:numId w:val="2"/>
        </w:numPr>
        <w:spacing w:before="0" w:after="0"/>
        <w:jc w:val="left"/>
      </w:pPr>
      <w:r>
        <w:rPr>
          <w:rFonts w:ascii="Calibri" w:hAnsi="Calibri"/>
          <w:b w:val="false"/>
          <w:i w:val="false"/>
          <w:color w:val="000000"/>
          <w:sz w:val="22"/>
        </w:rPr>
        <w:t>Tipo de estudio = Grado, Máster.</w:t>
      </w:r>
    </w:p>
    <w:p>
      <w:pPr>
        <w:numPr>
          <w:ilvl w:val="1"/>
          <w:numId w:val="2"/>
        </w:numPr>
        <w:spacing w:before="0" w:after="0"/>
        <w:jc w:val="left"/>
      </w:pPr>
      <w:r>
        <w:rPr>
          <w:rFonts w:ascii="Calibri" w:hAnsi="Calibri"/>
          <w:b w:val="false"/>
          <w:i w:val="false"/>
          <w:color w:val="000000"/>
          <w:sz w:val="22"/>
        </w:rPr>
        <w:t>Contabilizan en el numerador los alumnos que:</w:t>
      </w:r>
    </w:p>
    <w:p>
      <w:pPr>
        <w:numPr>
          <w:ilvl w:val="2"/>
          <w:numId w:val="2"/>
        </w:numPr>
        <w:spacing w:before="0" w:after="0"/>
        <w:jc w:val="left"/>
      </w:pPr>
      <w:r>
        <w:rPr>
          <w:rFonts w:ascii="Calibri" w:hAnsi="Calibri"/>
          <w:b w:val="false"/>
          <w:i w:val="false"/>
          <w:color w:val="000000"/>
          <w:sz w:val="22"/>
        </w:rPr>
        <w:t>Estaban matriculados en la titulación (T) en el curso X.</w:t>
      </w:r>
    </w:p>
    <w:p>
      <w:pPr>
        <w:numPr>
          <w:ilvl w:val="2"/>
          <w:numId w:val="2"/>
        </w:numPr>
        <w:spacing w:before="0" w:after="0"/>
        <w:jc w:val="left"/>
      </w:pPr>
      <w:r>
        <w:rPr>
          <w:rFonts w:ascii="Calibri" w:hAnsi="Calibri"/>
          <w:b w:val="false"/>
          <w:i w:val="false"/>
          <w:color w:val="000000"/>
          <w:sz w:val="22"/>
        </w:rPr>
        <w:t>No están matriculados en la titulación (T) en el curso X+1.</w:t>
      </w:r>
    </w:p>
    <w:p>
      <w:pPr>
        <w:numPr>
          <w:ilvl w:val="2"/>
          <w:numId w:val="2"/>
        </w:numPr>
        <w:spacing w:before="0" w:after="0"/>
        <w:jc w:val="left"/>
      </w:pPr>
      <w:r>
        <w:rPr>
          <w:rFonts w:ascii="Calibri" w:hAnsi="Calibri"/>
          <w:b w:val="false"/>
          <w:i w:val="false"/>
          <w:color w:val="000000"/>
          <w:sz w:val="22"/>
        </w:rPr>
        <w:t>No están matriculados en la titulación (T) en el curso X+2.</w:t>
      </w:r>
    </w:p>
    <w:p>
      <w:pPr>
        <w:numPr>
          <w:ilvl w:val="2"/>
          <w:numId w:val="2"/>
        </w:numPr>
        <w:spacing w:before="0" w:after="0"/>
        <w:jc w:val="left"/>
      </w:pPr>
      <w:r>
        <w:rPr>
          <w:rFonts w:ascii="Calibri" w:hAnsi="Calibri"/>
          <w:b w:val="false"/>
          <w:i w:val="false"/>
          <w:color w:val="000000"/>
          <w:sz w:val="22"/>
        </w:rPr>
        <w:t>Estudiantes que en los cursos X O X+1 O X+2 no han superado o reconocido (atendiendo al criterio de créditos reconocidos de SIIU) los créditos necesarios y suficientes para obtener el título de Grado o Máster.</w:t>
      </w:r>
    </w:p>
    <w:p>
      <w:pPr>
        <w:numPr>
          <w:ilvl w:val="2"/>
          <w:numId w:val="2"/>
        </w:numPr>
        <w:spacing w:before="0" w:after="0"/>
        <w:jc w:val="left"/>
      </w:pPr>
      <w:r>
        <w:rPr>
          <w:rFonts w:ascii="Calibri" w:hAnsi="Calibri"/>
          <w:b w:val="false"/>
          <w:i w:val="false"/>
          <w:color w:val="000000"/>
          <w:sz w:val="22"/>
        </w:rPr>
        <w:t>Sí están matriculados en otra titulación distinta de “T” en el curso X+1 Y/O X+2.</w:t>
      </w:r>
    </w:p>
    <w:p>
      <w:pPr>
        <w:numPr>
          <w:ilvl w:val="1"/>
          <w:numId w:val="2"/>
        </w:numPr>
        <w:spacing w:before="0" w:after="0"/>
        <w:jc w:val="left"/>
      </w:pPr>
      <w:r>
        <w:rPr>
          <w:rFonts w:ascii="Calibri" w:hAnsi="Calibri"/>
          <w:b w:val="false"/>
          <w:i w:val="false"/>
          <w:color w:val="000000"/>
          <w:sz w:val="22"/>
        </w:rPr>
        <w:t>Población de referencia = </w:t>
      </w:r>
      <w:hyperlink r:id="rId16">
        <w:r>
          <w:rPr>
            <w:rFonts w:ascii="Calibri" w:hAnsi="Calibri"/>
            <w:b w:val="false"/>
            <w:i w:val="false"/>
            <w:color w:val="0000ff"/>
            <w:sz w:val="22"/>
            <w:u w:val="single"/>
          </w:rPr>
          <w:t>Población Total</w:t>
        </w:r>
      </w:hyperlink>
    </w:p>
    <w:p>
      <w:pPr>
        <w:numPr>
          <w:ilvl w:val="0"/>
          <w:numId w:val="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11/07/2026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1"/>
    <w:lvlOverride w:ilvl="1">
      <w:startOverride w:val="1"/>
      <w:lvl w:ilvl="1">
        <w:numFmt w:val="bullet"/>
        <w:lvlText w:val="o"/>
        <w:pPr>
          <w:ind w:left="1560" w:hanging="360"/>
        </w:pPr>
        <w:rPr>
          <w:rFonts w:hint="default" w:ascii="Courier New" w:hAnsi="Courier New" w:cs="Courier New"/>
        </w:rPr>
      </w:lvl>
    </w:lvlOverride>
  </w:num>
  <w:num w:numId="3">
    <w:abstractNumId w:val="2"/>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634" Type="http://schemas.openxmlformats.org/officeDocument/2006/relationships/hyperlink" Id="rId16"/>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