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598901">
            <w:r>
              <w:rPr>
                <w:rStyle w:val="Hyperlink"/>
              </w:rPr>
              <w:t>Indicador - Nota media en asignaturas superadas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_Toc4598901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5989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_Toc4598902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5989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_Toc4598903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5989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_Toc4598904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598901" w:id="1"/>
      <w:r>
        <w:t>Indicador - Nota media en asignaturas superadas</w:t>
      </w:r>
      <w:bookmarkEnd w:id="1"/>
    </w:p>
    <w:p>
      <w:pPr>
        <w:pStyle w:val="DiccionarioT2"/>
      </w:pPr>
      <w:bookmarkStart w:name="_Toc45989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las calificaciones de los estudiantes de grado y máster en la asignatura superada, dividido por el número de estudiantes que han superado la asignatura.</w:t>
      </w:r>
    </w:p>
    <w:p>
      <w:pPr>
        <w:pStyle w:val="DiccionarioT2"/>
      </w:pPr>
      <w:bookmarkStart w:name="_Toc45989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de las calificaciones de los estudiantes de Grado y Máster en la asignatura superada.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Nº de estudiantes de Grado y Máster que han superado la asignatura.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calificaciones de las asignaturas superadas son: “Aprobado”, “Notable”, “Sobresaliente”, “Matrícula de Honor”, “Aprobado por compensación”, “Apto”.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45989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