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1671">
            <w:r>
              <w:rPr>
                <w:rStyle w:val="Hyperlink"/>
              </w:rPr>
              <w:t>Indicador - Nº de créditos superados en 1ª matricula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_Toc351671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16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_Toc351672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16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_Toc351673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1671" w:id="1"/>
      <w:r>
        <w:t>Indicador - Nº de créditos superados en 1ª matricula</w:t>
      </w:r>
      <w:bookmarkEnd w:id="1"/>
    </w:p>
    <w:p>
      <w:pPr>
        <w:pStyle w:val="DiccionarioT2"/>
      </w:pPr>
      <w:bookmarkStart w:name="_Toc3516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superados de las asignaturas matriculadas por 1ª vez por cada estudiante.</w:t>
      </w:r>
    </w:p>
    <w:p>
      <w:pPr>
        <w:pStyle w:val="DiccionarioT2"/>
      </w:pPr>
      <w:bookmarkStart w:name="_Toc3516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créditos matriculados que cumplen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vez matriculada = 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tras las dos convocatorias anuales = (“Aprobado”, “Notable”, “Sobresaliente”, “Matrícula de Honor”, “Aprobado por compensación”, “Apto”).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